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D947A9" w:rsidRDefault="00124746" w:rsidP="00CC3E8E">
      <w:pPr>
        <w:pStyle w:val="Heading1"/>
        <w:jc w:val="center"/>
        <w:rPr>
          <w:rFonts w:ascii="Arial" w:hAnsi="Arial" w:cs="Arial"/>
          <w:color w:val="auto"/>
        </w:rPr>
      </w:pPr>
      <w:r w:rsidRPr="00D947A9">
        <w:rPr>
          <w:rFonts w:ascii="Arial" w:hAnsi="Arial" w:cs="Arial"/>
          <w:color w:val="auto"/>
        </w:rPr>
        <w:t>Staff Report</w:t>
      </w:r>
    </w:p>
    <w:p w14:paraId="6697DE99" w14:textId="77777777" w:rsidR="00247892" w:rsidRPr="00D947A9" w:rsidRDefault="00247892" w:rsidP="00BA6FF9">
      <w:pPr>
        <w:ind w:left="2160" w:hanging="2160"/>
        <w:rPr>
          <w:rFonts w:cs="Arial"/>
          <w:szCs w:val="20"/>
        </w:rPr>
      </w:pPr>
    </w:p>
    <w:p w14:paraId="0AEEA22D" w14:textId="7723C743" w:rsidR="00BA6FF9" w:rsidRPr="00D947A9" w:rsidRDefault="00785500" w:rsidP="00BA6FF9">
      <w:pPr>
        <w:ind w:left="2160" w:hanging="2160"/>
        <w:rPr>
          <w:rFonts w:cs="Arial"/>
          <w:szCs w:val="20"/>
        </w:rPr>
      </w:pPr>
      <w:r w:rsidRPr="00D947A9">
        <w:rPr>
          <w:rFonts w:cs="Arial"/>
          <w:szCs w:val="20"/>
        </w:rPr>
        <w:t>M</w:t>
      </w:r>
      <w:r w:rsidR="00124746" w:rsidRPr="00D947A9">
        <w:rPr>
          <w:rFonts w:cs="Arial"/>
          <w:szCs w:val="20"/>
        </w:rPr>
        <w:t>eeting Date</w:t>
      </w:r>
      <w:r w:rsidR="00BA6FF9" w:rsidRPr="00D947A9">
        <w:rPr>
          <w:rFonts w:cs="Arial"/>
          <w:szCs w:val="20"/>
        </w:rPr>
        <w:t>:</w:t>
      </w:r>
      <w:r w:rsidR="00BA6FF9" w:rsidRPr="00D947A9">
        <w:rPr>
          <w:rFonts w:cs="Arial"/>
          <w:szCs w:val="20"/>
        </w:rPr>
        <w:tab/>
      </w:r>
      <w:r w:rsidR="00E937CB" w:rsidRPr="00D947A9">
        <w:rPr>
          <w:rFonts w:cs="Arial"/>
          <w:szCs w:val="20"/>
        </w:rPr>
        <w:t>September 3</w:t>
      </w:r>
      <w:r w:rsidR="00BD5D38" w:rsidRPr="00D947A9">
        <w:rPr>
          <w:rFonts w:cs="Arial"/>
          <w:szCs w:val="20"/>
        </w:rPr>
        <w:t>, 2024</w:t>
      </w:r>
    </w:p>
    <w:p w14:paraId="7580C93E" w14:textId="77777777" w:rsidR="00BA6FF9" w:rsidRPr="00D947A9" w:rsidRDefault="00124746" w:rsidP="00BA6FF9">
      <w:pPr>
        <w:ind w:left="2160" w:hanging="2160"/>
        <w:rPr>
          <w:rFonts w:cs="Arial"/>
          <w:szCs w:val="20"/>
        </w:rPr>
      </w:pPr>
      <w:r w:rsidRPr="00D947A9">
        <w:rPr>
          <w:rFonts w:cs="Arial"/>
          <w:szCs w:val="20"/>
        </w:rPr>
        <w:t>To</w:t>
      </w:r>
      <w:r w:rsidR="00BA6FF9" w:rsidRPr="00D947A9">
        <w:rPr>
          <w:rFonts w:cs="Arial"/>
          <w:szCs w:val="20"/>
        </w:rPr>
        <w:t>:</w:t>
      </w:r>
      <w:r w:rsidR="00BA6FF9" w:rsidRPr="00D947A9">
        <w:rPr>
          <w:rFonts w:cs="Arial"/>
          <w:szCs w:val="20"/>
        </w:rPr>
        <w:tab/>
        <w:t>Siskiyou County Board of Supervisors</w:t>
      </w:r>
    </w:p>
    <w:p w14:paraId="0E6A2833" w14:textId="7887C262" w:rsidR="00BA6FF9" w:rsidRPr="00D947A9" w:rsidRDefault="00124746" w:rsidP="00521DF2">
      <w:pPr>
        <w:tabs>
          <w:tab w:val="left" w:pos="2160"/>
        </w:tabs>
        <w:rPr>
          <w:rFonts w:cs="Arial"/>
          <w:szCs w:val="20"/>
        </w:rPr>
      </w:pPr>
      <w:r w:rsidRPr="00D947A9">
        <w:rPr>
          <w:rFonts w:cs="Arial"/>
          <w:szCs w:val="20"/>
        </w:rPr>
        <w:t>From</w:t>
      </w:r>
      <w:r w:rsidR="00521DF2" w:rsidRPr="00D947A9">
        <w:rPr>
          <w:rFonts w:cs="Arial"/>
          <w:szCs w:val="20"/>
        </w:rPr>
        <w:t>:</w:t>
      </w:r>
      <w:r w:rsidR="00521DF2" w:rsidRPr="00D947A9">
        <w:rPr>
          <w:rFonts w:cs="Arial"/>
          <w:szCs w:val="20"/>
        </w:rPr>
        <w:tab/>
      </w:r>
      <w:r w:rsidR="00BD5D38" w:rsidRPr="00D947A9">
        <w:rPr>
          <w:rFonts w:cs="Arial"/>
          <w:szCs w:val="20"/>
        </w:rPr>
        <w:t>Bernadette Cizin, Associate Planner</w:t>
      </w:r>
    </w:p>
    <w:p w14:paraId="01A41E0B" w14:textId="63EB1427" w:rsidR="00BA6FF9" w:rsidRPr="00D947A9" w:rsidRDefault="00124746" w:rsidP="00521DF2">
      <w:pPr>
        <w:spacing w:after="120"/>
        <w:ind w:left="2160" w:hanging="2160"/>
        <w:jc w:val="both"/>
        <w:rPr>
          <w:rFonts w:cs="Arial"/>
          <w:szCs w:val="20"/>
        </w:rPr>
      </w:pPr>
      <w:r w:rsidRPr="00D947A9">
        <w:rPr>
          <w:rFonts w:cs="Arial"/>
          <w:szCs w:val="20"/>
        </w:rPr>
        <w:t>Subject</w:t>
      </w:r>
      <w:r w:rsidR="00BA6FF9" w:rsidRPr="00D947A9">
        <w:rPr>
          <w:rFonts w:cs="Arial"/>
          <w:szCs w:val="20"/>
        </w:rPr>
        <w:t>:</w:t>
      </w:r>
      <w:r w:rsidR="00BA6FF9" w:rsidRPr="00D947A9">
        <w:rPr>
          <w:rFonts w:cs="Arial"/>
          <w:szCs w:val="20"/>
        </w:rPr>
        <w:tab/>
      </w:r>
      <w:r w:rsidR="0032598B" w:rsidRPr="00577993">
        <w:rPr>
          <w:rFonts w:cs="Arial"/>
          <w:szCs w:val="20"/>
        </w:rPr>
        <w:t xml:space="preserve">Update to the </w:t>
      </w:r>
      <w:r w:rsidR="0082150D" w:rsidRPr="00D947A9">
        <w:rPr>
          <w:rFonts w:cs="Arial"/>
          <w:szCs w:val="20"/>
        </w:rPr>
        <w:t>Rules for the Establishment and Administration of Agricultural Preserves and Williamson Act Contracts</w:t>
      </w:r>
    </w:p>
    <w:p w14:paraId="68D45C60" w14:textId="34A3B4AD" w:rsidR="00BA6FF9" w:rsidRPr="00D947A9" w:rsidRDefault="00785500" w:rsidP="001B3A24">
      <w:pPr>
        <w:pStyle w:val="Heading2"/>
        <w:spacing w:before="600" w:after="240"/>
        <w:rPr>
          <w:rFonts w:ascii="Arial" w:hAnsi="Arial" w:cs="Arial"/>
          <w:color w:val="auto"/>
        </w:rPr>
      </w:pPr>
      <w:r w:rsidRPr="00D947A9">
        <w:rPr>
          <w:rFonts w:ascii="Arial" w:hAnsi="Arial" w:cs="Arial"/>
          <w:noProof/>
          <w:color w:val="auto"/>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74110"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D947A9">
        <w:rPr>
          <w:rFonts w:ascii="Arial" w:hAnsi="Arial" w:cs="Arial"/>
          <w:color w:val="auto"/>
        </w:rPr>
        <w:t>Background</w:t>
      </w:r>
    </w:p>
    <w:p w14:paraId="5494FD24" w14:textId="1FA8AE0B" w:rsidR="0082150D" w:rsidRPr="00D947A9" w:rsidRDefault="0082150D" w:rsidP="0082150D">
      <w:pPr>
        <w:jc w:val="both"/>
        <w:rPr>
          <w:rFonts w:cs="Arial"/>
        </w:rPr>
      </w:pPr>
      <w:r w:rsidRPr="00D947A9">
        <w:rPr>
          <w:rFonts w:cs="Arial"/>
        </w:rPr>
        <w:t xml:space="preserve">The California Land Conservation Act of 1965, </w:t>
      </w:r>
      <w:r w:rsidR="00D229E8" w:rsidRPr="00D947A9">
        <w:rPr>
          <w:rFonts w:cs="Arial"/>
        </w:rPr>
        <w:t>better known</w:t>
      </w:r>
      <w:r w:rsidRPr="00D947A9">
        <w:rPr>
          <w:rFonts w:cs="Arial"/>
        </w:rPr>
        <w:t xml:space="preserve"> as the Williamson Act, is a program created by the State to help conserve agricultural land and open space areas. The Williamson Act enables local governments to </w:t>
      </w:r>
      <w:proofErr w:type="gramStart"/>
      <w:r w:rsidRPr="00D947A9">
        <w:rPr>
          <w:rFonts w:cs="Arial"/>
        </w:rPr>
        <w:t>enter into</w:t>
      </w:r>
      <w:proofErr w:type="gramEnd"/>
      <w:r w:rsidRPr="00D947A9">
        <w:rPr>
          <w:rFonts w:cs="Arial"/>
        </w:rPr>
        <w:t xml:space="preserve"> contracts with private landowners for the purpose of restricting specific land to agricultural or related open spaces uses. In return, landowners receive lower property tax assessments based upon farming and open space uses as opposed to full market value. </w:t>
      </w:r>
    </w:p>
    <w:p w14:paraId="01B74516" w14:textId="77E93C7E" w:rsidR="00AE54C1" w:rsidRPr="00D947A9" w:rsidRDefault="007B1930" w:rsidP="0082150D">
      <w:pPr>
        <w:jc w:val="both"/>
        <w:rPr>
          <w:rFonts w:cs="Arial"/>
        </w:rPr>
      </w:pPr>
      <w:r w:rsidRPr="00D947A9">
        <w:rPr>
          <w:rFonts w:cs="Arial"/>
        </w:rPr>
        <w:t xml:space="preserve">Local governments are not mandated to participate in this program, but those that do are able to tailor the program to suit local goals and objectives. </w:t>
      </w:r>
    </w:p>
    <w:p w14:paraId="51126D2F" w14:textId="6E067665" w:rsidR="00075F98" w:rsidRPr="00D947A9" w:rsidRDefault="00075F98" w:rsidP="0082150D">
      <w:pPr>
        <w:jc w:val="both"/>
        <w:rPr>
          <w:rFonts w:cs="Arial"/>
        </w:rPr>
      </w:pPr>
      <w:r w:rsidRPr="00D947A9">
        <w:rPr>
          <w:rFonts w:cs="Arial"/>
        </w:rPr>
        <w:t xml:space="preserve">During the </w:t>
      </w:r>
      <w:r w:rsidR="00E937CB" w:rsidRPr="00D947A9">
        <w:rPr>
          <w:rFonts w:cs="Arial"/>
        </w:rPr>
        <w:t>August 6, 2024</w:t>
      </w:r>
      <w:r w:rsidR="00350FB5" w:rsidRPr="00D947A9">
        <w:rPr>
          <w:rFonts w:cs="Arial"/>
        </w:rPr>
        <w:t>,</w:t>
      </w:r>
      <w:r w:rsidRPr="00D947A9">
        <w:rPr>
          <w:rFonts w:cs="Arial"/>
        </w:rPr>
        <w:t xml:space="preserve"> Board of Supervisors meeting,</w:t>
      </w:r>
      <w:r w:rsidR="00350FB5" w:rsidRPr="00D947A9">
        <w:rPr>
          <w:rFonts w:cs="Arial"/>
        </w:rPr>
        <w:t xml:space="preserve"> </w:t>
      </w:r>
      <w:r w:rsidR="00E937CB" w:rsidRPr="00D947A9">
        <w:rPr>
          <w:rFonts w:cs="Arial"/>
        </w:rPr>
        <w:t>planning staff presented information on the Williamson Act program and discussed potential revisions to</w:t>
      </w:r>
      <w:r w:rsidRPr="00D947A9">
        <w:rPr>
          <w:rFonts w:cs="Arial"/>
        </w:rPr>
        <w:t xml:space="preserve"> the County’s Rules for the Establishment and Administration of Agricultural Preserves and Williamson Act Contracts (‘Guidelines’).</w:t>
      </w:r>
    </w:p>
    <w:p w14:paraId="63B9BCA8" w14:textId="12FBA283" w:rsidR="00856D5A" w:rsidRPr="00D947A9" w:rsidRDefault="00E937CB" w:rsidP="00856D5A">
      <w:pPr>
        <w:jc w:val="both"/>
        <w:rPr>
          <w:rFonts w:cs="Arial"/>
        </w:rPr>
      </w:pPr>
      <w:r w:rsidRPr="00D947A9">
        <w:rPr>
          <w:rFonts w:cs="Arial"/>
        </w:rPr>
        <w:t xml:space="preserve">Based on the discussion and direction from the Board, </w:t>
      </w:r>
      <w:r w:rsidR="00856D5A" w:rsidRPr="00D947A9">
        <w:rPr>
          <w:rFonts w:cs="Arial"/>
        </w:rPr>
        <w:t xml:space="preserve">Staff </w:t>
      </w:r>
      <w:r w:rsidRPr="00D947A9">
        <w:rPr>
          <w:rFonts w:cs="Arial"/>
        </w:rPr>
        <w:t xml:space="preserve">has incorporated revisions </w:t>
      </w:r>
      <w:r w:rsidR="00856D5A" w:rsidRPr="00D947A9">
        <w:rPr>
          <w:rFonts w:cs="Arial"/>
        </w:rPr>
        <w:t xml:space="preserve">to better clarify responsibilities and requirements of the </w:t>
      </w:r>
      <w:r w:rsidR="00747F4B" w:rsidRPr="00D947A9">
        <w:rPr>
          <w:rFonts w:cs="Arial"/>
        </w:rPr>
        <w:t>C</w:t>
      </w:r>
      <w:r w:rsidR="00856D5A" w:rsidRPr="00D947A9">
        <w:rPr>
          <w:rFonts w:cs="Arial"/>
        </w:rPr>
        <w:t>ounty and contracted landowners and to simplify the contracting</w:t>
      </w:r>
      <w:r w:rsidR="00350FB5" w:rsidRPr="00D947A9">
        <w:rPr>
          <w:rFonts w:cs="Arial"/>
        </w:rPr>
        <w:t xml:space="preserve"> and amendment</w:t>
      </w:r>
      <w:r w:rsidR="00856D5A" w:rsidRPr="00D947A9">
        <w:rPr>
          <w:rFonts w:cs="Arial"/>
        </w:rPr>
        <w:t xml:space="preserve"> pro</w:t>
      </w:r>
      <w:r w:rsidR="00AE54C1" w:rsidRPr="00D947A9">
        <w:rPr>
          <w:rFonts w:cs="Arial"/>
        </w:rPr>
        <w:t>cess</w:t>
      </w:r>
      <w:r w:rsidR="00856D5A" w:rsidRPr="00D947A9">
        <w:rPr>
          <w:rFonts w:cs="Arial"/>
        </w:rPr>
        <w:t xml:space="preserve">. </w:t>
      </w:r>
    </w:p>
    <w:p w14:paraId="72C03A46" w14:textId="77777777" w:rsidR="0082150D" w:rsidRPr="00D947A9" w:rsidRDefault="0082150D" w:rsidP="005A3933">
      <w:pPr>
        <w:pStyle w:val="Heading2"/>
        <w:spacing w:before="0" w:after="240"/>
        <w:rPr>
          <w:rFonts w:ascii="Arial" w:hAnsi="Arial" w:cs="Arial"/>
          <w:color w:val="auto"/>
        </w:rPr>
      </w:pPr>
      <w:r w:rsidRPr="00D947A9">
        <w:rPr>
          <w:rFonts w:ascii="Arial" w:hAnsi="Arial" w:cs="Arial"/>
          <w:color w:val="auto"/>
        </w:rPr>
        <w:t>Discussion</w:t>
      </w:r>
    </w:p>
    <w:p w14:paraId="0D0E4D6A" w14:textId="5F201514" w:rsidR="00075F98" w:rsidRPr="00D947A9" w:rsidRDefault="00E937CB" w:rsidP="00075F98">
      <w:pPr>
        <w:rPr>
          <w:rFonts w:cs="Arial"/>
        </w:rPr>
      </w:pPr>
      <w:r w:rsidRPr="00D947A9">
        <w:rPr>
          <w:rFonts w:cs="Arial"/>
        </w:rPr>
        <w:t>The following</w:t>
      </w:r>
      <w:r w:rsidR="005A3933" w:rsidRPr="00D947A9">
        <w:rPr>
          <w:rFonts w:cs="Arial"/>
        </w:rPr>
        <w:t xml:space="preserve"> recommended</w:t>
      </w:r>
      <w:r w:rsidRPr="00D947A9">
        <w:rPr>
          <w:rFonts w:cs="Arial"/>
        </w:rPr>
        <w:t xml:space="preserve"> changes have been incorporated into the Draft version of the County Guidelines</w:t>
      </w:r>
      <w:r w:rsidR="00075F98" w:rsidRPr="00D947A9">
        <w:rPr>
          <w:rFonts w:cs="Arial"/>
        </w:rPr>
        <w:t>:</w:t>
      </w:r>
    </w:p>
    <w:p w14:paraId="7AC437F0" w14:textId="6FECA8A1" w:rsidR="0082150D" w:rsidRPr="00C61B77" w:rsidRDefault="00EB6AF2" w:rsidP="00711888">
      <w:pPr>
        <w:numPr>
          <w:ilvl w:val="0"/>
          <w:numId w:val="12"/>
        </w:numPr>
        <w:spacing w:before="240" w:after="240"/>
        <w:rPr>
          <w:rFonts w:cs="Arial"/>
          <w:b/>
          <w:bCs/>
        </w:rPr>
      </w:pPr>
      <w:r w:rsidRPr="00C61B77">
        <w:rPr>
          <w:rFonts w:cs="Arial"/>
          <w:b/>
          <w:bCs/>
        </w:rPr>
        <w:t>Establish</w:t>
      </w:r>
      <w:r w:rsidR="0082150D" w:rsidRPr="00C61B77">
        <w:rPr>
          <w:rFonts w:cs="Arial"/>
          <w:b/>
          <w:bCs/>
        </w:rPr>
        <w:t xml:space="preserve"> one Agricultural Preserve consisting of all property within the county which is currently encumbered by Williamson Act Contract</w:t>
      </w:r>
      <w:r w:rsidR="00EA2395" w:rsidRPr="00C61B77">
        <w:rPr>
          <w:rFonts w:cs="Arial"/>
          <w:b/>
          <w:bCs/>
        </w:rPr>
        <w:t xml:space="preserve"> (See Section III of Exhibit </w:t>
      </w:r>
      <w:r w:rsidR="00E95961" w:rsidRPr="00C61B77">
        <w:rPr>
          <w:rFonts w:cs="Arial"/>
          <w:b/>
          <w:bCs/>
        </w:rPr>
        <w:t>A</w:t>
      </w:r>
      <w:r w:rsidR="00EA2395" w:rsidRPr="00C61B77">
        <w:rPr>
          <w:rFonts w:cs="Arial"/>
          <w:b/>
          <w:bCs/>
        </w:rPr>
        <w:t>)</w:t>
      </w:r>
      <w:r w:rsidR="0082150D" w:rsidRPr="00C61B77">
        <w:rPr>
          <w:rFonts w:cs="Arial"/>
          <w:b/>
          <w:bCs/>
        </w:rPr>
        <w:t>.</w:t>
      </w:r>
    </w:p>
    <w:p w14:paraId="5B68B5B1" w14:textId="3E9AF1D9" w:rsidR="00E937CB" w:rsidRPr="00C61B77" w:rsidRDefault="0080584B" w:rsidP="00FA6664">
      <w:pPr>
        <w:spacing w:before="240" w:after="0"/>
        <w:ind w:left="720"/>
        <w:jc w:val="both"/>
        <w:rPr>
          <w:rFonts w:cs="Arial"/>
        </w:rPr>
      </w:pPr>
      <w:r w:rsidRPr="00C61B77">
        <w:rPr>
          <w:rFonts w:cs="Arial"/>
        </w:rPr>
        <w:t>This action will</w:t>
      </w:r>
      <w:r w:rsidR="004B6EAE" w:rsidRPr="00C61B77">
        <w:rPr>
          <w:rFonts w:cs="Arial"/>
        </w:rPr>
        <w:t>:</w:t>
      </w:r>
    </w:p>
    <w:p w14:paraId="5375D476" w14:textId="07010456" w:rsidR="00E937CB" w:rsidRPr="00C61B77" w:rsidRDefault="00E937CB" w:rsidP="00C61B77">
      <w:pPr>
        <w:pStyle w:val="ListParagraph"/>
        <w:numPr>
          <w:ilvl w:val="0"/>
          <w:numId w:val="23"/>
        </w:numPr>
        <w:spacing w:before="240" w:after="240"/>
        <w:jc w:val="both"/>
        <w:rPr>
          <w:rFonts w:cs="Arial"/>
        </w:rPr>
      </w:pPr>
      <w:r w:rsidRPr="00C61B77">
        <w:rPr>
          <w:rFonts w:cs="Arial"/>
        </w:rPr>
        <w:t xml:space="preserve">Disestablish all existing Agricultural </w:t>
      </w:r>
      <w:r w:rsidR="004B6EAE" w:rsidRPr="00C61B77">
        <w:rPr>
          <w:rFonts w:cs="Arial"/>
        </w:rPr>
        <w:t>P</w:t>
      </w:r>
      <w:r w:rsidRPr="00C61B77">
        <w:rPr>
          <w:rFonts w:cs="Arial"/>
        </w:rPr>
        <w:t>reserves.</w:t>
      </w:r>
    </w:p>
    <w:p w14:paraId="0FD198F4" w14:textId="37F85A0B" w:rsidR="00E937CB" w:rsidRPr="00C61B77" w:rsidRDefault="00E937CB" w:rsidP="00C61B77">
      <w:pPr>
        <w:pStyle w:val="ListParagraph"/>
        <w:numPr>
          <w:ilvl w:val="0"/>
          <w:numId w:val="23"/>
        </w:numPr>
        <w:spacing w:before="240" w:after="240"/>
        <w:jc w:val="both"/>
        <w:rPr>
          <w:rFonts w:cs="Arial"/>
        </w:rPr>
      </w:pPr>
      <w:r w:rsidRPr="00C61B77">
        <w:rPr>
          <w:rFonts w:cs="Arial"/>
        </w:rPr>
        <w:t xml:space="preserve">Establish a single </w:t>
      </w:r>
      <w:r w:rsidR="004B6EAE" w:rsidRPr="00C61B77">
        <w:rPr>
          <w:rFonts w:cs="Arial"/>
        </w:rPr>
        <w:t>Agricultural</w:t>
      </w:r>
      <w:r w:rsidRPr="00C61B77">
        <w:rPr>
          <w:rFonts w:cs="Arial"/>
        </w:rPr>
        <w:t xml:space="preserve"> Preserve which consists of only properties currently encumbered by Williamson Act contract. </w:t>
      </w:r>
    </w:p>
    <w:p w14:paraId="25243269" w14:textId="77777777" w:rsidR="004B6EAE" w:rsidRPr="00C61B77" w:rsidRDefault="004B6EAE" w:rsidP="00C61B77">
      <w:pPr>
        <w:pStyle w:val="ListParagraph"/>
        <w:numPr>
          <w:ilvl w:val="0"/>
          <w:numId w:val="23"/>
        </w:numPr>
        <w:spacing w:before="240" w:after="240"/>
        <w:jc w:val="both"/>
        <w:rPr>
          <w:rFonts w:cs="Arial"/>
        </w:rPr>
      </w:pPr>
      <w:r w:rsidRPr="00C61B77">
        <w:rPr>
          <w:rFonts w:cs="Arial"/>
        </w:rPr>
        <w:t>R</w:t>
      </w:r>
      <w:r w:rsidR="0080584B" w:rsidRPr="00C61B77">
        <w:rPr>
          <w:rFonts w:cs="Arial"/>
        </w:rPr>
        <w:t>emove from Agricultural Preserve any properties that are not currently under a Williamson Act Contract.</w:t>
      </w:r>
      <w:r w:rsidR="00C830D6" w:rsidRPr="00C61B77">
        <w:rPr>
          <w:rFonts w:cs="Arial"/>
        </w:rPr>
        <w:t xml:space="preserve"> </w:t>
      </w:r>
    </w:p>
    <w:p w14:paraId="0D365C2E" w14:textId="650E283D" w:rsidR="00F22A92" w:rsidRPr="00C61B77" w:rsidRDefault="004B6EAE" w:rsidP="00C61B77">
      <w:pPr>
        <w:pStyle w:val="ListParagraph"/>
        <w:numPr>
          <w:ilvl w:val="0"/>
          <w:numId w:val="23"/>
        </w:numPr>
        <w:spacing w:before="240" w:after="240"/>
        <w:jc w:val="both"/>
        <w:rPr>
          <w:rFonts w:cs="Arial"/>
        </w:rPr>
      </w:pPr>
      <w:r w:rsidRPr="00C61B77">
        <w:rPr>
          <w:rFonts w:cs="Arial"/>
        </w:rPr>
        <w:t>R</w:t>
      </w:r>
      <w:r w:rsidR="00C830D6" w:rsidRPr="00C61B77">
        <w:rPr>
          <w:rFonts w:cs="Arial"/>
        </w:rPr>
        <w:t xml:space="preserve">equirements </w:t>
      </w:r>
      <w:r w:rsidRPr="00C61B77">
        <w:rPr>
          <w:rFonts w:cs="Arial"/>
        </w:rPr>
        <w:t xml:space="preserve">to establish </w:t>
      </w:r>
      <w:r w:rsidR="00C830D6" w:rsidRPr="00C61B77">
        <w:rPr>
          <w:rFonts w:cs="Arial"/>
        </w:rPr>
        <w:t>Agricultural Preserv</w:t>
      </w:r>
      <w:r w:rsidRPr="00C61B77">
        <w:rPr>
          <w:rFonts w:cs="Arial"/>
        </w:rPr>
        <w:t>es will now become</w:t>
      </w:r>
      <w:r w:rsidR="00C830D6" w:rsidRPr="00C61B77">
        <w:rPr>
          <w:rFonts w:cs="Arial"/>
        </w:rPr>
        <w:t xml:space="preserve"> </w:t>
      </w:r>
      <w:r w:rsidR="00C91ACC" w:rsidRPr="00C61B77">
        <w:rPr>
          <w:rFonts w:cs="Arial"/>
        </w:rPr>
        <w:t>requirements</w:t>
      </w:r>
      <w:r w:rsidRPr="00C61B77">
        <w:rPr>
          <w:rFonts w:cs="Arial"/>
        </w:rPr>
        <w:t xml:space="preserve"> for Williamson Act Contracts (i.e. soils requirements, acreage, etc.)</w:t>
      </w:r>
      <w:r w:rsidR="00C830D6" w:rsidRPr="00C61B77">
        <w:rPr>
          <w:rFonts w:cs="Arial"/>
        </w:rPr>
        <w:t>.</w:t>
      </w:r>
    </w:p>
    <w:p w14:paraId="630BC557" w14:textId="09A806C5" w:rsidR="005A3933" w:rsidRPr="00C61B77" w:rsidRDefault="005A3933" w:rsidP="00C61B77">
      <w:pPr>
        <w:pStyle w:val="ListParagraph"/>
        <w:numPr>
          <w:ilvl w:val="0"/>
          <w:numId w:val="23"/>
        </w:numPr>
        <w:spacing w:before="240" w:after="240"/>
        <w:jc w:val="both"/>
        <w:rPr>
          <w:rFonts w:cs="Arial"/>
        </w:rPr>
      </w:pPr>
      <w:r w:rsidRPr="00C61B77">
        <w:rPr>
          <w:rFonts w:cs="Arial"/>
        </w:rPr>
        <w:t>Cause revisions to the language throughout the guidelines to reflect the single Agricultural Preserve.</w:t>
      </w:r>
    </w:p>
    <w:p w14:paraId="5CAE26B8" w14:textId="1D56D5F5" w:rsidR="00EA2395" w:rsidRPr="00C61B77" w:rsidRDefault="00EA2395" w:rsidP="00711888">
      <w:pPr>
        <w:numPr>
          <w:ilvl w:val="0"/>
          <w:numId w:val="12"/>
        </w:numPr>
        <w:spacing w:before="240" w:after="240"/>
        <w:rPr>
          <w:rFonts w:cs="Arial"/>
          <w:b/>
          <w:bCs/>
        </w:rPr>
      </w:pPr>
      <w:r w:rsidRPr="00C61B77">
        <w:rPr>
          <w:rFonts w:cs="Arial"/>
          <w:b/>
          <w:bCs/>
        </w:rPr>
        <w:lastRenderedPageBreak/>
        <w:t xml:space="preserve">Better define what is considered a significant increase to an existing Williamson Act Contract (See Section III </w:t>
      </w:r>
      <w:r w:rsidR="00E95961" w:rsidRPr="00C61B77">
        <w:rPr>
          <w:rFonts w:cs="Arial"/>
          <w:b/>
          <w:bCs/>
        </w:rPr>
        <w:t xml:space="preserve">Item </w:t>
      </w:r>
      <w:r w:rsidRPr="00C61B77">
        <w:rPr>
          <w:rFonts w:cs="Arial"/>
          <w:b/>
          <w:bCs/>
        </w:rPr>
        <w:t xml:space="preserve">A of Exhibit </w:t>
      </w:r>
      <w:r w:rsidR="00E95961" w:rsidRPr="00C61B77">
        <w:rPr>
          <w:rFonts w:cs="Arial"/>
          <w:b/>
          <w:bCs/>
        </w:rPr>
        <w:t>A</w:t>
      </w:r>
      <w:r w:rsidRPr="00C61B77">
        <w:rPr>
          <w:rFonts w:cs="Arial"/>
          <w:b/>
          <w:bCs/>
        </w:rPr>
        <w:t>).</w:t>
      </w:r>
    </w:p>
    <w:p w14:paraId="20104540" w14:textId="77777777" w:rsidR="00EA2395" w:rsidRPr="00C61B77" w:rsidRDefault="00EA2395" w:rsidP="00FA6664">
      <w:pPr>
        <w:spacing w:before="240" w:after="0"/>
        <w:ind w:left="720"/>
        <w:jc w:val="both"/>
        <w:rPr>
          <w:rFonts w:cs="Arial"/>
        </w:rPr>
      </w:pPr>
      <w:r w:rsidRPr="00C61B77">
        <w:rPr>
          <w:rFonts w:cs="Arial"/>
        </w:rPr>
        <w:t>This action will:</w:t>
      </w:r>
    </w:p>
    <w:p w14:paraId="7BF9962B" w14:textId="5B656DF5" w:rsidR="00883132" w:rsidRPr="00C61B77" w:rsidRDefault="00EA2395" w:rsidP="00C61B77">
      <w:pPr>
        <w:pStyle w:val="ListParagraph"/>
        <w:numPr>
          <w:ilvl w:val="0"/>
          <w:numId w:val="24"/>
        </w:numPr>
        <w:spacing w:before="240" w:after="240"/>
        <w:rPr>
          <w:rFonts w:cs="Arial"/>
        </w:rPr>
      </w:pPr>
      <w:r w:rsidRPr="00C61B77">
        <w:rPr>
          <w:rFonts w:cs="Arial"/>
        </w:rPr>
        <w:t xml:space="preserve">Define that the county considers </w:t>
      </w:r>
      <w:r w:rsidR="005A3933" w:rsidRPr="00C61B77">
        <w:rPr>
          <w:rFonts w:cs="Arial"/>
        </w:rPr>
        <w:t xml:space="preserve">an increase of up to </w:t>
      </w:r>
      <w:r w:rsidRPr="00C61B77">
        <w:rPr>
          <w:rFonts w:cs="Arial"/>
        </w:rPr>
        <w:t xml:space="preserve">25 acres or 2.5% of the existing contracted property, whichever is lesser, to </w:t>
      </w:r>
      <w:r w:rsidRPr="00C61B77">
        <w:rPr>
          <w:rFonts w:cs="Arial"/>
          <w:u w:val="single"/>
        </w:rPr>
        <w:t>not</w:t>
      </w:r>
      <w:r w:rsidRPr="00C61B77">
        <w:rPr>
          <w:rFonts w:cs="Arial"/>
        </w:rPr>
        <w:t xml:space="preserve"> be a significant increase to a contract. </w:t>
      </w:r>
      <w:r w:rsidRPr="00C61B77">
        <w:rPr>
          <w:rFonts w:cs="Arial"/>
        </w:rPr>
        <w:br/>
        <w:t xml:space="preserve">A proposed increase of </w:t>
      </w:r>
      <w:r w:rsidR="005A3933" w:rsidRPr="00C61B77">
        <w:rPr>
          <w:rFonts w:cs="Arial"/>
        </w:rPr>
        <w:t xml:space="preserve">the Agricultural Preserve </w:t>
      </w:r>
      <w:r w:rsidRPr="00C61B77">
        <w:rPr>
          <w:rFonts w:cs="Arial"/>
        </w:rPr>
        <w:t>by more than 25 acres or</w:t>
      </w:r>
      <w:r w:rsidR="0090686D" w:rsidRPr="00C61B77">
        <w:rPr>
          <w:rFonts w:cs="Arial"/>
        </w:rPr>
        <w:t xml:space="preserve"> more than</w:t>
      </w:r>
      <w:r w:rsidRPr="00C61B77">
        <w:rPr>
          <w:rFonts w:cs="Arial"/>
        </w:rPr>
        <w:t xml:space="preserve"> 2.5% of the contracted land would be considered by </w:t>
      </w:r>
      <w:r w:rsidR="005A3933" w:rsidRPr="00C61B77">
        <w:rPr>
          <w:rFonts w:cs="Arial"/>
        </w:rPr>
        <w:t xml:space="preserve">the Agricultural Administrator and </w:t>
      </w:r>
      <w:r w:rsidRPr="00C61B77">
        <w:rPr>
          <w:rFonts w:cs="Arial"/>
        </w:rPr>
        <w:t xml:space="preserve">the Board on a </w:t>
      </w:r>
      <w:r w:rsidR="005A3933" w:rsidRPr="00C61B77">
        <w:rPr>
          <w:rFonts w:cs="Arial"/>
        </w:rPr>
        <w:t>case-by-case</w:t>
      </w:r>
      <w:r w:rsidRPr="00C61B77">
        <w:rPr>
          <w:rFonts w:cs="Arial"/>
        </w:rPr>
        <w:t xml:space="preserve"> basis.</w:t>
      </w:r>
    </w:p>
    <w:p w14:paraId="6058F9D9" w14:textId="691E6FA5" w:rsidR="0082150D" w:rsidRPr="00C61B77" w:rsidRDefault="004B6EAE" w:rsidP="00711888">
      <w:pPr>
        <w:numPr>
          <w:ilvl w:val="0"/>
          <w:numId w:val="12"/>
        </w:numPr>
        <w:spacing w:before="240" w:after="240"/>
        <w:rPr>
          <w:rFonts w:cs="Arial"/>
          <w:b/>
          <w:bCs/>
        </w:rPr>
      </w:pPr>
      <w:r w:rsidRPr="00C61B77">
        <w:rPr>
          <w:rFonts w:cs="Arial"/>
          <w:b/>
          <w:bCs/>
        </w:rPr>
        <w:t>Remove the</w:t>
      </w:r>
      <w:r w:rsidR="00FB3B51" w:rsidRPr="00C61B77">
        <w:rPr>
          <w:rFonts w:cs="Arial"/>
          <w:b/>
          <w:bCs/>
        </w:rPr>
        <w:t xml:space="preserve"> growing and harvesting of timber</w:t>
      </w:r>
      <w:r w:rsidRPr="00C61B77">
        <w:rPr>
          <w:rFonts w:cs="Arial"/>
          <w:b/>
          <w:bCs/>
        </w:rPr>
        <w:t xml:space="preserve"> as an allowed primary use of contracted property</w:t>
      </w:r>
      <w:r w:rsidR="00E95961" w:rsidRPr="00C61B77">
        <w:rPr>
          <w:rFonts w:cs="Arial"/>
          <w:b/>
          <w:bCs/>
        </w:rPr>
        <w:t xml:space="preserve"> (See Section IV Item A of Exhibit A)</w:t>
      </w:r>
      <w:r w:rsidR="00FA6664" w:rsidRPr="00C61B77">
        <w:rPr>
          <w:rFonts w:cs="Arial"/>
          <w:b/>
          <w:bCs/>
        </w:rPr>
        <w:t>.</w:t>
      </w:r>
    </w:p>
    <w:p w14:paraId="3CF9098B" w14:textId="77777777" w:rsidR="004B6EAE" w:rsidRPr="00C61B77" w:rsidRDefault="004B6EAE" w:rsidP="00FA6664">
      <w:pPr>
        <w:spacing w:before="240" w:after="0"/>
        <w:ind w:left="720"/>
        <w:jc w:val="both"/>
        <w:rPr>
          <w:rFonts w:cs="Arial"/>
        </w:rPr>
      </w:pPr>
      <w:r w:rsidRPr="00C61B77">
        <w:rPr>
          <w:rFonts w:cs="Arial"/>
        </w:rPr>
        <w:t>This action will:</w:t>
      </w:r>
    </w:p>
    <w:p w14:paraId="6302735B" w14:textId="193B11EF" w:rsidR="00F22A92" w:rsidRPr="00C61B77" w:rsidRDefault="004B6EAE" w:rsidP="00C61B77">
      <w:pPr>
        <w:pStyle w:val="ListParagraph"/>
        <w:numPr>
          <w:ilvl w:val="0"/>
          <w:numId w:val="25"/>
        </w:numPr>
        <w:spacing w:before="240" w:after="240"/>
        <w:jc w:val="both"/>
        <w:rPr>
          <w:rFonts w:cs="Arial"/>
        </w:rPr>
      </w:pPr>
      <w:r w:rsidRPr="00C61B77">
        <w:rPr>
          <w:rFonts w:cs="Arial"/>
        </w:rPr>
        <w:t>Not allow the establishment of Williamson Act Contracts where the primary use of the land is growing and harvesting timber.</w:t>
      </w:r>
    </w:p>
    <w:p w14:paraId="6910F8E6" w14:textId="7414F692" w:rsidR="004B6EAE" w:rsidRPr="00C61B77" w:rsidRDefault="004B6EAE" w:rsidP="00C61B77">
      <w:pPr>
        <w:pStyle w:val="ListParagraph"/>
        <w:numPr>
          <w:ilvl w:val="1"/>
          <w:numId w:val="25"/>
        </w:numPr>
        <w:spacing w:before="240" w:after="240"/>
        <w:jc w:val="both"/>
        <w:rPr>
          <w:rFonts w:cs="Arial"/>
        </w:rPr>
      </w:pPr>
      <w:r w:rsidRPr="00C61B77">
        <w:rPr>
          <w:rFonts w:cs="Arial"/>
        </w:rPr>
        <w:t>Property owners who wish to change the primary use to the growing and harvesting of timber from the use agreed upon in a Williamson Act contract have the option to Rezone to Timber Production Zoning, with no cancellation fees, as noted in Government Code Section 51282.5.</w:t>
      </w:r>
    </w:p>
    <w:p w14:paraId="2B350CB8" w14:textId="05C01339" w:rsidR="00883132" w:rsidRPr="00C61B77" w:rsidRDefault="00883132" w:rsidP="00711888">
      <w:pPr>
        <w:numPr>
          <w:ilvl w:val="0"/>
          <w:numId w:val="12"/>
        </w:numPr>
        <w:spacing w:before="240" w:after="240"/>
        <w:rPr>
          <w:rFonts w:cs="Arial"/>
          <w:b/>
          <w:bCs/>
        </w:rPr>
      </w:pPr>
      <w:r w:rsidRPr="00C61B77">
        <w:rPr>
          <w:rFonts w:cs="Arial"/>
          <w:b/>
          <w:bCs/>
        </w:rPr>
        <w:t>Remove and revise Commercial Agricultural Production Uses (See Section IV</w:t>
      </w:r>
      <w:r w:rsidR="00E95961" w:rsidRPr="00C61B77">
        <w:rPr>
          <w:rFonts w:cs="Arial"/>
          <w:b/>
          <w:bCs/>
        </w:rPr>
        <w:t xml:space="preserve"> Item </w:t>
      </w:r>
      <w:r w:rsidRPr="00C61B77">
        <w:rPr>
          <w:rFonts w:cs="Arial"/>
          <w:b/>
          <w:bCs/>
        </w:rPr>
        <w:t xml:space="preserve">A of Exhibit </w:t>
      </w:r>
      <w:r w:rsidR="00E95961" w:rsidRPr="00C61B77">
        <w:rPr>
          <w:rFonts w:cs="Arial"/>
          <w:b/>
          <w:bCs/>
        </w:rPr>
        <w:t>A</w:t>
      </w:r>
      <w:r w:rsidRPr="00C61B77">
        <w:rPr>
          <w:rFonts w:cs="Arial"/>
          <w:b/>
          <w:bCs/>
        </w:rPr>
        <w:t>).</w:t>
      </w:r>
    </w:p>
    <w:p w14:paraId="2D35BE7E" w14:textId="77777777" w:rsidR="00883132" w:rsidRPr="00C61B77" w:rsidRDefault="00883132" w:rsidP="00FA6664">
      <w:pPr>
        <w:spacing w:before="240" w:after="0"/>
        <w:ind w:left="720"/>
        <w:jc w:val="both"/>
        <w:rPr>
          <w:rFonts w:cs="Arial"/>
        </w:rPr>
      </w:pPr>
      <w:r w:rsidRPr="00C61B77">
        <w:rPr>
          <w:rFonts w:cs="Arial"/>
        </w:rPr>
        <w:t>This action will:</w:t>
      </w:r>
    </w:p>
    <w:p w14:paraId="01D9C4D7" w14:textId="1DDE1FA2" w:rsidR="00883132" w:rsidRPr="00D947A9" w:rsidRDefault="00883132" w:rsidP="00C61B77">
      <w:pPr>
        <w:pStyle w:val="ListParagraph"/>
        <w:numPr>
          <w:ilvl w:val="0"/>
          <w:numId w:val="26"/>
        </w:numPr>
        <w:spacing w:before="240" w:after="240"/>
        <w:rPr>
          <w:rFonts w:cs="Arial"/>
        </w:rPr>
      </w:pPr>
      <w:r w:rsidRPr="00D947A9">
        <w:rPr>
          <w:rFonts w:cs="Arial"/>
        </w:rPr>
        <w:t xml:space="preserve">Remove uses described as accessory as these belong under compatible uses. </w:t>
      </w:r>
    </w:p>
    <w:p w14:paraId="1A611026" w14:textId="77777777" w:rsidR="00883132" w:rsidRPr="00C61B77" w:rsidRDefault="00883132" w:rsidP="00C61B77">
      <w:pPr>
        <w:pStyle w:val="ListParagraph"/>
        <w:numPr>
          <w:ilvl w:val="0"/>
          <w:numId w:val="26"/>
        </w:numPr>
        <w:spacing w:before="240" w:after="240"/>
        <w:rPr>
          <w:rFonts w:cs="Arial"/>
        </w:rPr>
      </w:pPr>
      <w:r w:rsidRPr="00C61B77">
        <w:rPr>
          <w:rFonts w:cs="Arial"/>
        </w:rPr>
        <w:t>Better describe the use of Production of Fiber</w:t>
      </w:r>
    </w:p>
    <w:p w14:paraId="18B54372" w14:textId="77777777" w:rsidR="00883132" w:rsidRPr="00C61B77" w:rsidRDefault="00883132" w:rsidP="00C61B77">
      <w:pPr>
        <w:pStyle w:val="ListParagraph"/>
        <w:numPr>
          <w:ilvl w:val="0"/>
          <w:numId w:val="26"/>
        </w:numPr>
        <w:spacing w:before="240" w:after="240"/>
        <w:rPr>
          <w:rFonts w:cs="Arial"/>
        </w:rPr>
      </w:pPr>
      <w:r w:rsidRPr="00C61B77">
        <w:rPr>
          <w:rFonts w:cs="Arial"/>
        </w:rPr>
        <w:t>Remove the growing of timber, as previously discussed.</w:t>
      </w:r>
    </w:p>
    <w:p w14:paraId="7CE93B63" w14:textId="33910073" w:rsidR="00883132" w:rsidRPr="00C61B77" w:rsidRDefault="00883132" w:rsidP="00FA6664">
      <w:pPr>
        <w:numPr>
          <w:ilvl w:val="0"/>
          <w:numId w:val="12"/>
        </w:numPr>
        <w:spacing w:before="240" w:after="240"/>
        <w:jc w:val="both"/>
        <w:rPr>
          <w:rFonts w:cs="Arial"/>
          <w:b/>
          <w:bCs/>
        </w:rPr>
      </w:pPr>
      <w:r w:rsidRPr="00C61B77">
        <w:rPr>
          <w:rFonts w:cs="Arial"/>
          <w:b/>
          <w:bCs/>
        </w:rPr>
        <w:t xml:space="preserve">Remove Agritourism activities from Compatible Uses </w:t>
      </w:r>
      <w:r w:rsidR="00FA6664" w:rsidRPr="00C61B77">
        <w:rPr>
          <w:rFonts w:cs="Arial"/>
          <w:b/>
          <w:bCs/>
        </w:rPr>
        <w:t>(See Section IV Item B of Exhibit A).</w:t>
      </w:r>
    </w:p>
    <w:p w14:paraId="1A98300A" w14:textId="77777777" w:rsidR="00883132" w:rsidRPr="00C61B77" w:rsidRDefault="00883132" w:rsidP="00FA6664">
      <w:pPr>
        <w:spacing w:before="240" w:after="0"/>
        <w:ind w:left="720"/>
        <w:jc w:val="both"/>
        <w:rPr>
          <w:rFonts w:cs="Arial"/>
        </w:rPr>
      </w:pPr>
      <w:r w:rsidRPr="00C61B77">
        <w:rPr>
          <w:rFonts w:cs="Arial"/>
        </w:rPr>
        <w:t>This action will:</w:t>
      </w:r>
    </w:p>
    <w:p w14:paraId="5B77B8D6" w14:textId="5CCB0894" w:rsidR="00883132" w:rsidRPr="00C61B77" w:rsidRDefault="00883132" w:rsidP="00C61B77">
      <w:pPr>
        <w:pStyle w:val="ListParagraph"/>
        <w:numPr>
          <w:ilvl w:val="0"/>
          <w:numId w:val="27"/>
        </w:numPr>
        <w:spacing w:before="240" w:after="240"/>
        <w:jc w:val="both"/>
        <w:rPr>
          <w:rFonts w:cs="Arial"/>
        </w:rPr>
      </w:pPr>
      <w:r w:rsidRPr="00C61B77">
        <w:rPr>
          <w:rFonts w:cs="Arial"/>
        </w:rPr>
        <w:t>Remove Agritourism as it is not defined or used in County Code.</w:t>
      </w:r>
    </w:p>
    <w:p w14:paraId="6DE15ECB" w14:textId="66762A08" w:rsidR="00883132" w:rsidRPr="00C61B77" w:rsidRDefault="00883132" w:rsidP="00C61B77">
      <w:pPr>
        <w:pStyle w:val="ListParagraph"/>
        <w:numPr>
          <w:ilvl w:val="0"/>
          <w:numId w:val="27"/>
        </w:numPr>
        <w:spacing w:before="240" w:after="240"/>
        <w:jc w:val="both"/>
        <w:rPr>
          <w:rFonts w:cs="Arial"/>
        </w:rPr>
      </w:pPr>
      <w:r w:rsidRPr="00C61B77">
        <w:rPr>
          <w:rFonts w:cs="Arial"/>
        </w:rPr>
        <w:t>Redistribute activities described under Agritourism as these activities remain applicable.</w:t>
      </w:r>
    </w:p>
    <w:p w14:paraId="46EBB9C0" w14:textId="0E4FB80A" w:rsidR="0082150D" w:rsidRPr="00C61B77" w:rsidRDefault="00E87FA9" w:rsidP="00FA6664">
      <w:pPr>
        <w:numPr>
          <w:ilvl w:val="0"/>
          <w:numId w:val="12"/>
        </w:numPr>
        <w:spacing w:before="240" w:after="240"/>
        <w:jc w:val="both"/>
        <w:rPr>
          <w:rFonts w:cs="Arial"/>
          <w:b/>
          <w:bCs/>
        </w:rPr>
      </w:pPr>
      <w:r w:rsidRPr="00C61B77">
        <w:rPr>
          <w:rFonts w:cs="Arial"/>
          <w:b/>
          <w:bCs/>
        </w:rPr>
        <w:t>Include Vacation Rentals under Residential Uses</w:t>
      </w:r>
      <w:r w:rsidR="00FA6664" w:rsidRPr="00C61B77">
        <w:rPr>
          <w:rFonts w:cs="Arial"/>
          <w:b/>
          <w:bCs/>
        </w:rPr>
        <w:t xml:space="preserve"> (See Section IV Item B of Exhibit A).</w:t>
      </w:r>
    </w:p>
    <w:p w14:paraId="6B38AB0B" w14:textId="788F61A1" w:rsidR="00844D99" w:rsidRPr="00C61B77" w:rsidRDefault="00844D99" w:rsidP="00FA6664">
      <w:pPr>
        <w:spacing w:before="240" w:after="0"/>
        <w:ind w:left="720"/>
        <w:jc w:val="both"/>
        <w:rPr>
          <w:rFonts w:cs="Arial"/>
        </w:rPr>
      </w:pPr>
      <w:r w:rsidRPr="00C61B77">
        <w:rPr>
          <w:rFonts w:cs="Arial"/>
        </w:rPr>
        <w:t>This action will:</w:t>
      </w:r>
    </w:p>
    <w:p w14:paraId="589D6EC6" w14:textId="53DE6D2C" w:rsidR="00C61B77" w:rsidRDefault="00844D99" w:rsidP="00C61B77">
      <w:pPr>
        <w:pStyle w:val="ListParagraph"/>
        <w:numPr>
          <w:ilvl w:val="0"/>
          <w:numId w:val="28"/>
        </w:numPr>
        <w:spacing w:after="240"/>
        <w:jc w:val="both"/>
        <w:rPr>
          <w:rFonts w:cs="Arial"/>
        </w:rPr>
      </w:pPr>
      <w:r w:rsidRPr="00C61B77">
        <w:rPr>
          <w:rFonts w:cs="Arial"/>
        </w:rPr>
        <w:t xml:space="preserve">Allow the use of </w:t>
      </w:r>
      <w:r w:rsidR="0090686D" w:rsidRPr="00C61B77">
        <w:rPr>
          <w:rFonts w:cs="Arial"/>
        </w:rPr>
        <w:t xml:space="preserve">an </w:t>
      </w:r>
      <w:r w:rsidRPr="00C61B77">
        <w:rPr>
          <w:rFonts w:cs="Arial"/>
        </w:rPr>
        <w:t xml:space="preserve">existing </w:t>
      </w:r>
      <w:r w:rsidR="0090686D" w:rsidRPr="00C61B77">
        <w:rPr>
          <w:rFonts w:cs="Arial"/>
        </w:rPr>
        <w:t>residence</w:t>
      </w:r>
      <w:r w:rsidRPr="00C61B77">
        <w:rPr>
          <w:rFonts w:cs="Arial"/>
        </w:rPr>
        <w:t xml:space="preserve"> to be rented </w:t>
      </w:r>
      <w:r w:rsidR="0090686D" w:rsidRPr="00C61B77">
        <w:rPr>
          <w:rFonts w:cs="Arial"/>
        </w:rPr>
        <w:t xml:space="preserve">on a </w:t>
      </w:r>
      <w:r w:rsidR="00FA6664" w:rsidRPr="00C61B77">
        <w:rPr>
          <w:rFonts w:cs="Arial"/>
        </w:rPr>
        <w:t>short-term</w:t>
      </w:r>
      <w:r w:rsidR="0090686D" w:rsidRPr="00C61B77">
        <w:rPr>
          <w:rFonts w:cs="Arial"/>
        </w:rPr>
        <w:t xml:space="preserve"> basis with</w:t>
      </w:r>
      <w:r w:rsidRPr="00C61B77">
        <w:rPr>
          <w:rFonts w:cs="Arial"/>
        </w:rPr>
        <w:t xml:space="preserve"> </w:t>
      </w:r>
      <w:r w:rsidR="00283FC9" w:rsidRPr="00C61B77">
        <w:rPr>
          <w:rFonts w:cs="Arial"/>
        </w:rPr>
        <w:t>applicable permits.</w:t>
      </w:r>
    </w:p>
    <w:p w14:paraId="580506B0" w14:textId="29E18BB5" w:rsidR="00844D99" w:rsidRPr="00C61B77" w:rsidRDefault="00C61B77" w:rsidP="002D148E">
      <w:pPr>
        <w:spacing w:after="0" w:line="240" w:lineRule="auto"/>
        <w:rPr>
          <w:rFonts w:cs="Arial"/>
        </w:rPr>
      </w:pPr>
      <w:r>
        <w:rPr>
          <w:rFonts w:cs="Arial"/>
        </w:rPr>
        <w:br w:type="page"/>
      </w:r>
    </w:p>
    <w:p w14:paraId="5C41D3D7" w14:textId="2773CF61" w:rsidR="0082150D" w:rsidRPr="00C61B77" w:rsidRDefault="00E87FA9" w:rsidP="00711888">
      <w:pPr>
        <w:numPr>
          <w:ilvl w:val="0"/>
          <w:numId w:val="12"/>
        </w:numPr>
        <w:spacing w:before="240" w:after="240"/>
        <w:rPr>
          <w:rFonts w:cs="Arial"/>
          <w:b/>
          <w:bCs/>
        </w:rPr>
      </w:pPr>
      <w:r w:rsidRPr="00C61B77">
        <w:rPr>
          <w:rFonts w:cs="Arial"/>
          <w:b/>
          <w:bCs/>
        </w:rPr>
        <w:lastRenderedPageBreak/>
        <w:t>Revised Conservation Programs to require property owners to provide Conservation contracts/easements to the Planning Division</w:t>
      </w:r>
      <w:r w:rsidR="00283FC9" w:rsidRPr="00C61B77">
        <w:rPr>
          <w:rFonts w:cs="Arial"/>
          <w:b/>
          <w:bCs/>
        </w:rPr>
        <w:t xml:space="preserve"> (See Section IV </w:t>
      </w:r>
      <w:r w:rsidR="00FA6664" w:rsidRPr="00C61B77">
        <w:rPr>
          <w:rFonts w:cs="Arial"/>
          <w:b/>
          <w:bCs/>
        </w:rPr>
        <w:t xml:space="preserve">Item </w:t>
      </w:r>
      <w:r w:rsidR="00283FC9" w:rsidRPr="00C61B77">
        <w:rPr>
          <w:rFonts w:cs="Arial"/>
          <w:b/>
          <w:bCs/>
        </w:rPr>
        <w:t>B</w:t>
      </w:r>
      <w:r w:rsidR="00B0517A" w:rsidRPr="00C61B77">
        <w:rPr>
          <w:rFonts w:cs="Arial"/>
          <w:b/>
          <w:bCs/>
        </w:rPr>
        <w:t xml:space="preserve"> of</w:t>
      </w:r>
      <w:r w:rsidR="00283FC9" w:rsidRPr="00C61B77">
        <w:rPr>
          <w:rFonts w:cs="Arial"/>
          <w:b/>
          <w:bCs/>
        </w:rPr>
        <w:t xml:space="preserve"> Exhibit </w:t>
      </w:r>
      <w:r w:rsidR="00FA6664" w:rsidRPr="00C61B77">
        <w:rPr>
          <w:rFonts w:cs="Arial"/>
          <w:b/>
          <w:bCs/>
        </w:rPr>
        <w:t>A</w:t>
      </w:r>
      <w:r w:rsidR="00283FC9" w:rsidRPr="00C61B77">
        <w:rPr>
          <w:rFonts w:cs="Arial"/>
          <w:b/>
          <w:bCs/>
        </w:rPr>
        <w:t>)</w:t>
      </w:r>
      <w:r w:rsidR="00FA6664" w:rsidRPr="00C61B77">
        <w:rPr>
          <w:rFonts w:cs="Arial"/>
          <w:b/>
          <w:bCs/>
        </w:rPr>
        <w:t>.</w:t>
      </w:r>
    </w:p>
    <w:p w14:paraId="6E877CB0" w14:textId="2BD12DE8" w:rsidR="00D229E8" w:rsidRPr="00C61B77" w:rsidRDefault="00D229E8" w:rsidP="00FA6664">
      <w:pPr>
        <w:spacing w:before="240" w:after="0"/>
        <w:ind w:left="720"/>
        <w:jc w:val="both"/>
        <w:rPr>
          <w:rFonts w:cs="Arial"/>
        </w:rPr>
      </w:pPr>
      <w:r w:rsidRPr="00C61B77">
        <w:rPr>
          <w:rFonts w:cs="Arial"/>
        </w:rPr>
        <w:t>This action will:</w:t>
      </w:r>
    </w:p>
    <w:p w14:paraId="60EF3D9A" w14:textId="2B4F3750" w:rsidR="00F64E78" w:rsidRPr="00D947A9" w:rsidRDefault="00283FC9" w:rsidP="00C61B77">
      <w:pPr>
        <w:pStyle w:val="ListParagraph"/>
        <w:numPr>
          <w:ilvl w:val="0"/>
          <w:numId w:val="29"/>
        </w:numPr>
        <w:spacing w:before="240" w:after="240"/>
        <w:jc w:val="both"/>
        <w:rPr>
          <w:rFonts w:cs="Arial"/>
        </w:rPr>
      </w:pPr>
      <w:r w:rsidRPr="00C61B77">
        <w:rPr>
          <w:rFonts w:cs="Arial"/>
        </w:rPr>
        <w:t>C</w:t>
      </w:r>
      <w:r w:rsidR="00F64E78" w:rsidRPr="00C61B77">
        <w:rPr>
          <w:rFonts w:cs="Arial"/>
        </w:rPr>
        <w:t>larif</w:t>
      </w:r>
      <w:r w:rsidRPr="00C61B77">
        <w:rPr>
          <w:rFonts w:cs="Arial"/>
        </w:rPr>
        <w:t>y</w:t>
      </w:r>
      <w:r w:rsidR="00F64E78" w:rsidRPr="00C61B77">
        <w:rPr>
          <w:rFonts w:cs="Arial"/>
        </w:rPr>
        <w:t xml:space="preserve"> that it is the responsibility of the property owner to provide </w:t>
      </w:r>
      <w:r w:rsidRPr="00C61B77">
        <w:rPr>
          <w:rFonts w:cs="Arial"/>
        </w:rPr>
        <w:t>Conservation Contracts or Easements</w:t>
      </w:r>
      <w:r w:rsidR="00F64E78" w:rsidRPr="00C61B77">
        <w:rPr>
          <w:rFonts w:cs="Arial"/>
        </w:rPr>
        <w:t xml:space="preserve"> for review of compatibility with the</w:t>
      </w:r>
      <w:r w:rsidRPr="00C61B77">
        <w:rPr>
          <w:rFonts w:cs="Arial"/>
        </w:rPr>
        <w:t>ir</w:t>
      </w:r>
      <w:r w:rsidR="00F64E78" w:rsidRPr="00C61B77">
        <w:rPr>
          <w:rFonts w:cs="Arial"/>
        </w:rPr>
        <w:t xml:space="preserve"> Williamson Act and clarifies that if this does not occur, the county will issue a Notice of Non-Renewal</w:t>
      </w:r>
      <w:r w:rsidR="00F64E78" w:rsidRPr="00D947A9">
        <w:rPr>
          <w:rFonts w:cs="Arial"/>
        </w:rPr>
        <w:t>.</w:t>
      </w:r>
    </w:p>
    <w:p w14:paraId="6468B7D2" w14:textId="50C16EEB" w:rsidR="0082150D" w:rsidRPr="00C61B77" w:rsidRDefault="00283FC9" w:rsidP="00711888">
      <w:pPr>
        <w:numPr>
          <w:ilvl w:val="0"/>
          <w:numId w:val="12"/>
        </w:numPr>
        <w:spacing w:before="240" w:after="240"/>
        <w:rPr>
          <w:rFonts w:cs="Arial"/>
          <w:b/>
          <w:bCs/>
        </w:rPr>
      </w:pPr>
      <w:r w:rsidRPr="00C61B77">
        <w:rPr>
          <w:rFonts w:cs="Arial"/>
          <w:b/>
          <w:bCs/>
        </w:rPr>
        <w:t>Included a Minor Amendment -</w:t>
      </w:r>
      <w:r w:rsidR="00E87FA9" w:rsidRPr="00C61B77">
        <w:rPr>
          <w:rFonts w:cs="Arial"/>
          <w:b/>
          <w:bCs/>
        </w:rPr>
        <w:t xml:space="preserve"> Agricultural Preserve Administrator may approve</w:t>
      </w:r>
      <w:r w:rsidR="004D0141" w:rsidRPr="00C61B77">
        <w:rPr>
          <w:rFonts w:cs="Arial"/>
          <w:b/>
          <w:bCs/>
        </w:rPr>
        <w:t xml:space="preserve"> a Change in Use as a Minor Contract Amendment. </w:t>
      </w:r>
      <w:r w:rsidRPr="00C61B77">
        <w:rPr>
          <w:rFonts w:cs="Arial"/>
          <w:b/>
          <w:bCs/>
        </w:rPr>
        <w:t>(See Section IV</w:t>
      </w:r>
      <w:r w:rsidR="00FA6664" w:rsidRPr="00C61B77">
        <w:rPr>
          <w:rFonts w:cs="Arial"/>
          <w:b/>
          <w:bCs/>
        </w:rPr>
        <w:t xml:space="preserve"> Item</w:t>
      </w:r>
      <w:r w:rsidRPr="00C61B77">
        <w:rPr>
          <w:rFonts w:cs="Arial"/>
          <w:b/>
          <w:bCs/>
        </w:rPr>
        <w:t xml:space="preserve"> C of Exhibit </w:t>
      </w:r>
      <w:r w:rsidR="00FA6664" w:rsidRPr="00C61B77">
        <w:rPr>
          <w:rFonts w:cs="Arial"/>
          <w:b/>
          <w:bCs/>
        </w:rPr>
        <w:t>A</w:t>
      </w:r>
      <w:r w:rsidRPr="00C61B77">
        <w:rPr>
          <w:rFonts w:cs="Arial"/>
          <w:b/>
          <w:bCs/>
        </w:rPr>
        <w:t>)</w:t>
      </w:r>
      <w:r w:rsidR="00633254">
        <w:rPr>
          <w:rFonts w:cs="Arial"/>
          <w:b/>
          <w:bCs/>
        </w:rPr>
        <w:t>.</w:t>
      </w:r>
    </w:p>
    <w:p w14:paraId="687ED640" w14:textId="423A38C4" w:rsidR="00283FC9" w:rsidRPr="00C61B77" w:rsidRDefault="00283FC9" w:rsidP="00FA6664">
      <w:pPr>
        <w:spacing w:before="240" w:after="0"/>
        <w:ind w:left="720"/>
        <w:jc w:val="both"/>
        <w:rPr>
          <w:rFonts w:cs="Arial"/>
        </w:rPr>
      </w:pPr>
      <w:r w:rsidRPr="00C61B77">
        <w:rPr>
          <w:rFonts w:cs="Arial"/>
        </w:rPr>
        <w:t>This action will:</w:t>
      </w:r>
    </w:p>
    <w:p w14:paraId="6F14D330" w14:textId="5D3A669C" w:rsidR="00AE7307" w:rsidRPr="00C61B77" w:rsidRDefault="00283FC9" w:rsidP="00FA6664">
      <w:pPr>
        <w:pStyle w:val="ListParagraph"/>
        <w:numPr>
          <w:ilvl w:val="0"/>
          <w:numId w:val="21"/>
        </w:numPr>
        <w:spacing w:before="240" w:after="240"/>
        <w:jc w:val="both"/>
        <w:rPr>
          <w:rFonts w:cs="Arial"/>
        </w:rPr>
      </w:pPr>
      <w:r w:rsidRPr="00C61B77">
        <w:rPr>
          <w:rFonts w:cs="Arial"/>
        </w:rPr>
        <w:t>A</w:t>
      </w:r>
      <w:r w:rsidR="00F64E78" w:rsidRPr="00C61B77">
        <w:rPr>
          <w:rFonts w:cs="Arial"/>
        </w:rPr>
        <w:t>llow a Minor Amendment Fee to be assessed (50% of the normal application fees plus CEQA fees (</w:t>
      </w:r>
      <w:r w:rsidR="00AE7307" w:rsidRPr="00C61B77">
        <w:rPr>
          <w:rFonts w:cs="Arial"/>
        </w:rPr>
        <w:t>Planning Fees County Code Section 10-6.1601)</w:t>
      </w:r>
    </w:p>
    <w:p w14:paraId="413E6C6A" w14:textId="165194AE" w:rsidR="007133D3" w:rsidRPr="00C61B77" w:rsidRDefault="00283FC9" w:rsidP="00FA6664">
      <w:pPr>
        <w:pStyle w:val="ListParagraph"/>
        <w:numPr>
          <w:ilvl w:val="0"/>
          <w:numId w:val="21"/>
        </w:numPr>
        <w:spacing w:before="240" w:after="240"/>
        <w:jc w:val="both"/>
        <w:rPr>
          <w:rFonts w:cs="Arial"/>
        </w:rPr>
      </w:pPr>
      <w:r w:rsidRPr="00C61B77">
        <w:rPr>
          <w:rFonts w:cs="Arial"/>
        </w:rPr>
        <w:t>Allow</w:t>
      </w:r>
      <w:r w:rsidR="008F6692" w:rsidRPr="00C61B77">
        <w:rPr>
          <w:rFonts w:cs="Arial"/>
        </w:rPr>
        <w:t xml:space="preserve"> review and approv</w:t>
      </w:r>
      <w:r w:rsidRPr="00C61B77">
        <w:rPr>
          <w:rFonts w:cs="Arial"/>
        </w:rPr>
        <w:t>al</w:t>
      </w:r>
      <w:r w:rsidR="008F6692" w:rsidRPr="00C61B77">
        <w:rPr>
          <w:rFonts w:cs="Arial"/>
        </w:rPr>
        <w:t xml:space="preserve"> by the Agricultural Preserve Administrator.</w:t>
      </w:r>
    </w:p>
    <w:p w14:paraId="2060CF87" w14:textId="3F4D1EAA" w:rsidR="0082150D" w:rsidRPr="00C61B77" w:rsidRDefault="00D229E8" w:rsidP="00711888">
      <w:pPr>
        <w:numPr>
          <w:ilvl w:val="0"/>
          <w:numId w:val="12"/>
        </w:numPr>
        <w:spacing w:before="240" w:after="240"/>
        <w:rPr>
          <w:rFonts w:cs="Arial"/>
          <w:b/>
          <w:bCs/>
        </w:rPr>
      </w:pPr>
      <w:r w:rsidRPr="00C61B77">
        <w:rPr>
          <w:rFonts w:cs="Arial"/>
          <w:b/>
          <w:bCs/>
        </w:rPr>
        <w:t>Included a process for</w:t>
      </w:r>
      <w:r w:rsidR="004D0141" w:rsidRPr="00C61B77">
        <w:rPr>
          <w:rFonts w:cs="Arial"/>
          <w:b/>
          <w:bCs/>
        </w:rPr>
        <w:t xml:space="preserve"> Withdraw a Notice </w:t>
      </w:r>
      <w:r w:rsidR="0080584B" w:rsidRPr="00C61B77">
        <w:rPr>
          <w:rFonts w:cs="Arial"/>
          <w:b/>
          <w:bCs/>
        </w:rPr>
        <w:t>of</w:t>
      </w:r>
      <w:r w:rsidR="004D0141" w:rsidRPr="00C61B77">
        <w:rPr>
          <w:rFonts w:cs="Arial"/>
          <w:b/>
          <w:bCs/>
        </w:rPr>
        <w:t xml:space="preserve"> Non-Renewal</w:t>
      </w:r>
      <w:r w:rsidR="00FA6664" w:rsidRPr="00C61B77">
        <w:rPr>
          <w:rFonts w:cs="Arial"/>
          <w:b/>
          <w:bCs/>
        </w:rPr>
        <w:t xml:space="preserve"> (See Section VII Item A of Exhibit A)</w:t>
      </w:r>
      <w:r w:rsidR="00633254">
        <w:rPr>
          <w:rFonts w:cs="Arial"/>
          <w:b/>
          <w:bCs/>
        </w:rPr>
        <w:t>.</w:t>
      </w:r>
    </w:p>
    <w:p w14:paraId="277EA3B9" w14:textId="77777777" w:rsidR="00D229E8" w:rsidRPr="00C61B77" w:rsidRDefault="00D229E8" w:rsidP="00FA6664">
      <w:pPr>
        <w:spacing w:before="240" w:after="0"/>
        <w:ind w:left="720"/>
        <w:jc w:val="both"/>
        <w:rPr>
          <w:rFonts w:cs="Arial"/>
        </w:rPr>
      </w:pPr>
      <w:r w:rsidRPr="00C61B77">
        <w:rPr>
          <w:rFonts w:cs="Arial"/>
        </w:rPr>
        <w:t>This action will:</w:t>
      </w:r>
    </w:p>
    <w:p w14:paraId="238F7408" w14:textId="36C7842E" w:rsidR="00AE7307" w:rsidRPr="00C61B77" w:rsidRDefault="00D229E8" w:rsidP="00FA6664">
      <w:pPr>
        <w:pStyle w:val="ListParagraph"/>
        <w:numPr>
          <w:ilvl w:val="0"/>
          <w:numId w:val="22"/>
        </w:numPr>
        <w:spacing w:before="240" w:after="240"/>
        <w:jc w:val="both"/>
        <w:rPr>
          <w:rFonts w:cs="Arial"/>
        </w:rPr>
      </w:pPr>
      <w:r w:rsidRPr="00C61B77">
        <w:rPr>
          <w:rFonts w:cs="Arial"/>
        </w:rPr>
        <w:t>P</w:t>
      </w:r>
      <w:r w:rsidR="000F13AC" w:rsidRPr="00C61B77">
        <w:rPr>
          <w:rFonts w:cs="Arial"/>
        </w:rPr>
        <w:t>rovide clarification as to the withdrawal process depending on if the property owner or the county issues the Notice of Non-Renewal.</w:t>
      </w:r>
      <w:r w:rsidR="007133D3" w:rsidRPr="00C61B77">
        <w:rPr>
          <w:rFonts w:cs="Arial"/>
        </w:rPr>
        <w:t xml:space="preserve"> </w:t>
      </w:r>
    </w:p>
    <w:p w14:paraId="2F644CA5" w14:textId="1C9B0C86" w:rsidR="005440E7" w:rsidRPr="00D947A9" w:rsidRDefault="005440E7" w:rsidP="00FA6664">
      <w:pPr>
        <w:spacing w:before="240" w:after="240"/>
        <w:rPr>
          <w:rFonts w:cs="Arial"/>
        </w:rPr>
      </w:pPr>
      <w:r w:rsidRPr="00D947A9">
        <w:rPr>
          <w:rFonts w:cs="Arial"/>
        </w:rPr>
        <w:t xml:space="preserve">The following were discussed at the </w:t>
      </w:r>
      <w:r w:rsidR="006A22EA" w:rsidRPr="00D947A9">
        <w:rPr>
          <w:rFonts w:cs="Arial"/>
        </w:rPr>
        <w:t xml:space="preserve">August Board meeting but not incorporated into </w:t>
      </w:r>
      <w:r w:rsidRPr="00D947A9">
        <w:rPr>
          <w:rFonts w:cs="Arial"/>
        </w:rPr>
        <w:t>the Draft version of the County Guidelines</w:t>
      </w:r>
      <w:r w:rsidR="006A22EA" w:rsidRPr="00D947A9">
        <w:rPr>
          <w:rFonts w:cs="Arial"/>
        </w:rPr>
        <w:t xml:space="preserve"> for the reasons described below</w:t>
      </w:r>
      <w:r w:rsidRPr="00D947A9">
        <w:rPr>
          <w:rFonts w:cs="Arial"/>
        </w:rPr>
        <w:t>:</w:t>
      </w:r>
    </w:p>
    <w:p w14:paraId="460AAFDB" w14:textId="11DD3076" w:rsidR="006A22EA" w:rsidRPr="00C61B77" w:rsidRDefault="006A22EA" w:rsidP="00711888">
      <w:pPr>
        <w:numPr>
          <w:ilvl w:val="0"/>
          <w:numId w:val="12"/>
        </w:numPr>
        <w:spacing w:before="240" w:after="240"/>
        <w:rPr>
          <w:rFonts w:cs="Arial"/>
          <w:b/>
          <w:bCs/>
        </w:rPr>
      </w:pPr>
      <w:r w:rsidRPr="00C61B77">
        <w:rPr>
          <w:rFonts w:cs="Arial"/>
          <w:b/>
          <w:bCs/>
        </w:rPr>
        <w:t>Applicant may provide a Proof of Legal Parcel in lieu of a Title Report.</w:t>
      </w:r>
    </w:p>
    <w:p w14:paraId="21A4E477" w14:textId="77777777" w:rsidR="001052CF" w:rsidRPr="00C61B77" w:rsidRDefault="006A22EA" w:rsidP="00FA6664">
      <w:pPr>
        <w:spacing w:before="240" w:after="0"/>
        <w:ind w:left="720"/>
        <w:rPr>
          <w:rFonts w:cs="Arial"/>
        </w:rPr>
      </w:pPr>
      <w:r w:rsidRPr="00C61B77">
        <w:rPr>
          <w:rFonts w:cs="Arial"/>
        </w:rPr>
        <w:t xml:space="preserve">As directed by the board, staff </w:t>
      </w:r>
      <w:proofErr w:type="gramStart"/>
      <w:r w:rsidRPr="00C61B77">
        <w:rPr>
          <w:rFonts w:cs="Arial"/>
        </w:rPr>
        <w:t>looked into</w:t>
      </w:r>
      <w:proofErr w:type="gramEnd"/>
      <w:r w:rsidRPr="00C61B77">
        <w:rPr>
          <w:rFonts w:cs="Arial"/>
        </w:rPr>
        <w:t xml:space="preserve"> the possibility of </w:t>
      </w:r>
      <w:r w:rsidR="0083647C" w:rsidRPr="00C61B77">
        <w:rPr>
          <w:rFonts w:cs="Arial"/>
        </w:rPr>
        <w:t xml:space="preserve">title research being conducted within the department. </w:t>
      </w:r>
    </w:p>
    <w:p w14:paraId="763093A7" w14:textId="77777777" w:rsidR="005147B0" w:rsidRPr="00C61B77" w:rsidRDefault="001052CF" w:rsidP="00C61B77">
      <w:pPr>
        <w:spacing w:before="240" w:after="0"/>
        <w:ind w:left="720"/>
        <w:rPr>
          <w:rFonts w:cs="Arial"/>
        </w:rPr>
      </w:pPr>
      <w:r w:rsidRPr="00C61B77">
        <w:rPr>
          <w:rFonts w:cs="Arial"/>
        </w:rPr>
        <w:t>Resources - S</w:t>
      </w:r>
      <w:r w:rsidR="000C7D2F" w:rsidRPr="00C61B77">
        <w:rPr>
          <w:rFonts w:cs="Arial"/>
        </w:rPr>
        <w:t>taff</w:t>
      </w:r>
      <w:r w:rsidRPr="00C61B77">
        <w:rPr>
          <w:rFonts w:cs="Arial"/>
        </w:rPr>
        <w:t>’s</w:t>
      </w:r>
      <w:r w:rsidR="000C7D2F" w:rsidRPr="00C61B77">
        <w:rPr>
          <w:rFonts w:cs="Arial"/>
        </w:rPr>
        <w:t xml:space="preserve"> access to the necessary documents is through the county Recorder’s office. The documents that are readily available and searchable by name, assessor’s parcel number and recording date are limited</w:t>
      </w:r>
      <w:r w:rsidRPr="00C61B77">
        <w:rPr>
          <w:rFonts w:cs="Arial"/>
        </w:rPr>
        <w:t xml:space="preserve"> back to about 1975. Finding documents recorded prior to that requires reviewing logs by name and reviewing each document individually to see if it is applicable to the property.</w:t>
      </w:r>
      <w:r w:rsidR="000C7D2F" w:rsidRPr="00C61B77">
        <w:rPr>
          <w:rFonts w:cs="Arial"/>
        </w:rPr>
        <w:t xml:space="preserve"> </w:t>
      </w:r>
      <w:r w:rsidRPr="00C61B77">
        <w:rPr>
          <w:rFonts w:cs="Arial"/>
        </w:rPr>
        <w:t>Aside from the considerable time it takes to research all historical information on a parcel, it was discussed that we likely do not have the staffing to dedicate to this.</w:t>
      </w:r>
    </w:p>
    <w:p w14:paraId="020B3CF8" w14:textId="49A86F18" w:rsidR="005147B0" w:rsidRPr="00C61B77" w:rsidRDefault="001052CF" w:rsidP="00C61B77">
      <w:pPr>
        <w:spacing w:after="0"/>
        <w:ind w:left="720"/>
        <w:rPr>
          <w:rFonts w:cs="Arial"/>
        </w:rPr>
      </w:pPr>
      <w:r w:rsidRPr="00C61B77">
        <w:rPr>
          <w:rFonts w:cs="Arial"/>
        </w:rPr>
        <w:br/>
        <w:t xml:space="preserve">Costs – Staff reached out to a local title company to inquire about costs. The fee for a local title company to provide a Preliminary Title Report is $400 per parcel and $400 for each additional parcel for residential properties. </w:t>
      </w:r>
      <w:r w:rsidR="000133D6" w:rsidRPr="00C61B77">
        <w:rPr>
          <w:rFonts w:cs="Arial"/>
        </w:rPr>
        <w:t xml:space="preserve">Planning Staff </w:t>
      </w:r>
      <w:r w:rsidR="000133D6" w:rsidRPr="00711888">
        <w:rPr>
          <w:rFonts w:cs="Arial"/>
        </w:rPr>
        <w:t>rates average $</w:t>
      </w:r>
      <w:r w:rsidR="00711888">
        <w:rPr>
          <w:rFonts w:cs="Arial"/>
        </w:rPr>
        <w:t>99.00</w:t>
      </w:r>
      <w:r w:rsidR="000133D6" w:rsidRPr="00C61B77">
        <w:rPr>
          <w:rFonts w:cs="Arial"/>
        </w:rPr>
        <w:t xml:space="preserve"> per hour. </w:t>
      </w:r>
    </w:p>
    <w:p w14:paraId="6A79F83A" w14:textId="2235FAC4" w:rsidR="000765F9" w:rsidRDefault="000133D6" w:rsidP="00C61B77">
      <w:pPr>
        <w:spacing w:after="240"/>
        <w:ind w:left="720"/>
        <w:rPr>
          <w:rFonts w:cs="Arial"/>
        </w:rPr>
      </w:pPr>
      <w:r w:rsidRPr="00C61B77">
        <w:rPr>
          <w:rFonts w:cs="Arial"/>
        </w:rPr>
        <w:br/>
        <w:t>Liability – Title Reports are insured for accuracy. It was questioned whether staff providing this research would come with liability to the County.</w:t>
      </w:r>
    </w:p>
    <w:p w14:paraId="28B0D05B" w14:textId="78D461EB" w:rsidR="000133D6" w:rsidRPr="00C61B77" w:rsidRDefault="000765F9" w:rsidP="000765F9">
      <w:pPr>
        <w:spacing w:after="0" w:line="240" w:lineRule="auto"/>
        <w:rPr>
          <w:rFonts w:cs="Arial"/>
        </w:rPr>
      </w:pPr>
      <w:r>
        <w:rPr>
          <w:rFonts w:cs="Arial"/>
        </w:rPr>
        <w:br w:type="page"/>
      </w:r>
    </w:p>
    <w:p w14:paraId="7D9CDD06" w14:textId="5A1EFD5E" w:rsidR="00B0517A" w:rsidRPr="00C61B77" w:rsidRDefault="00B0517A" w:rsidP="00FA6664">
      <w:pPr>
        <w:spacing w:before="240" w:after="240"/>
        <w:ind w:left="720"/>
        <w:rPr>
          <w:rFonts w:cs="Arial"/>
        </w:rPr>
      </w:pPr>
      <w:r w:rsidRPr="00C61B77">
        <w:rPr>
          <w:rFonts w:cs="Arial"/>
        </w:rPr>
        <w:lastRenderedPageBreak/>
        <w:t>Staff is recommending that the requirement to provide a Title Report as part of an application package remain as it will provide information necessary to determine if the proposed property qualifies for a Williamson Act Contract, including but not limited to the following: ownership, lienholder, easements/restrictions. However, because recent documents are readily available to staff, it is recommended that we allow Title Reports as old as 5 years be considered submittable.</w:t>
      </w:r>
    </w:p>
    <w:p w14:paraId="46C1CBA0" w14:textId="77777777" w:rsidR="00216824" w:rsidRPr="00C61B77" w:rsidRDefault="00216824" w:rsidP="00711888">
      <w:pPr>
        <w:pStyle w:val="ListParagraph"/>
        <w:numPr>
          <w:ilvl w:val="0"/>
          <w:numId w:val="12"/>
        </w:numPr>
        <w:spacing w:before="240" w:after="240"/>
        <w:rPr>
          <w:rFonts w:cs="Arial"/>
          <w:b/>
          <w:bCs/>
        </w:rPr>
      </w:pPr>
      <w:r w:rsidRPr="00C61B77">
        <w:rPr>
          <w:rFonts w:cs="Arial"/>
          <w:b/>
          <w:bCs/>
        </w:rPr>
        <w:t>Revise Contract Acreage Requirements to allow for substandard parcels already included in a contract to remain under contract.</w:t>
      </w:r>
    </w:p>
    <w:p w14:paraId="13ADA4CD" w14:textId="77777777" w:rsidR="00216824" w:rsidRPr="00C61B77" w:rsidRDefault="00216824" w:rsidP="00FA6664">
      <w:pPr>
        <w:pStyle w:val="ListParagraph"/>
        <w:spacing w:before="240" w:after="240"/>
        <w:jc w:val="both"/>
        <w:rPr>
          <w:rFonts w:cs="Arial"/>
          <w:sz w:val="16"/>
          <w:szCs w:val="16"/>
        </w:rPr>
      </w:pPr>
    </w:p>
    <w:p w14:paraId="54B3DF06" w14:textId="277E3A6B" w:rsidR="00D229E8" w:rsidRPr="00C61B77" w:rsidRDefault="00216824" w:rsidP="00FA6664">
      <w:pPr>
        <w:pStyle w:val="ListParagraph"/>
        <w:spacing w:before="240" w:after="240"/>
        <w:jc w:val="both"/>
        <w:rPr>
          <w:rFonts w:cs="Arial"/>
        </w:rPr>
      </w:pPr>
      <w:r w:rsidRPr="00C61B77">
        <w:rPr>
          <w:rFonts w:cs="Arial"/>
        </w:rPr>
        <w:t xml:space="preserve">As discussed at the August Board meeting, </w:t>
      </w:r>
      <w:r w:rsidR="00D229E8" w:rsidRPr="00C61B77">
        <w:rPr>
          <w:rFonts w:cs="Arial"/>
        </w:rPr>
        <w:t xml:space="preserve">it is preferred </w:t>
      </w:r>
      <w:r w:rsidRPr="00C61B77">
        <w:rPr>
          <w:rFonts w:cs="Arial"/>
        </w:rPr>
        <w:t xml:space="preserve">to continue to require parcels meet minimum size requirements as defined in </w:t>
      </w:r>
      <w:r w:rsidR="00D229E8" w:rsidRPr="00C61B77">
        <w:rPr>
          <w:rFonts w:cs="Arial"/>
        </w:rPr>
        <w:t>state law.</w:t>
      </w:r>
    </w:p>
    <w:p w14:paraId="35CC8B0D" w14:textId="77777777" w:rsidR="00CB185D" w:rsidRPr="00C61B77" w:rsidRDefault="00CB185D" w:rsidP="00C61B77">
      <w:pPr>
        <w:pStyle w:val="ListParagraph"/>
        <w:spacing w:before="240" w:after="0"/>
        <w:jc w:val="both"/>
        <w:rPr>
          <w:rFonts w:cs="Arial"/>
          <w:sz w:val="16"/>
          <w:szCs w:val="16"/>
        </w:rPr>
      </w:pPr>
    </w:p>
    <w:p w14:paraId="0A81762E" w14:textId="029AD436" w:rsidR="00F87638" w:rsidRPr="00C61B77" w:rsidRDefault="00216824" w:rsidP="000765F9">
      <w:pPr>
        <w:spacing w:after="240"/>
        <w:ind w:left="720"/>
        <w:jc w:val="both"/>
        <w:rPr>
          <w:rFonts w:cs="Arial"/>
        </w:rPr>
      </w:pPr>
      <w:r w:rsidRPr="00C61B77">
        <w:rPr>
          <w:rFonts w:cs="Arial"/>
        </w:rPr>
        <w:t>Government Code Section 51222 states that agricultural land shall be presumed to be in parcels large enough</w:t>
      </w:r>
      <w:r w:rsidR="00633254">
        <w:rPr>
          <w:rFonts w:cs="Arial"/>
        </w:rPr>
        <w:t xml:space="preserve"> </w:t>
      </w:r>
      <w:r w:rsidRPr="00C61B77">
        <w:rPr>
          <w:rFonts w:cs="Arial"/>
        </w:rPr>
        <w:t>to sustain their agricultural use if the land is at least 10 acres in size in the case of prime agricultural land or at least 40 acres in size in the case of land which is not prime agricultural land.</w:t>
      </w:r>
    </w:p>
    <w:p w14:paraId="4F7ADF24" w14:textId="0565AA04" w:rsidR="00BA6FF9" w:rsidRPr="00D947A9" w:rsidRDefault="00124746" w:rsidP="00703617">
      <w:pPr>
        <w:pStyle w:val="Heading2"/>
        <w:rPr>
          <w:rFonts w:ascii="Arial" w:hAnsi="Arial" w:cs="Arial"/>
          <w:color w:val="auto"/>
        </w:rPr>
      </w:pPr>
      <w:r w:rsidRPr="00D947A9">
        <w:rPr>
          <w:rFonts w:ascii="Arial" w:hAnsi="Arial" w:cs="Arial"/>
          <w:color w:val="auto"/>
        </w:rPr>
        <w:t>Recommended Action</w:t>
      </w:r>
    </w:p>
    <w:p w14:paraId="16B7E208" w14:textId="60A14C83" w:rsidR="00265783" w:rsidRPr="00D947A9" w:rsidRDefault="0090686D" w:rsidP="007133D3">
      <w:pPr>
        <w:spacing w:before="240"/>
        <w:rPr>
          <w:rFonts w:cs="Arial"/>
        </w:rPr>
      </w:pPr>
      <w:r w:rsidRPr="00D947A9">
        <w:rPr>
          <w:rFonts w:cs="Arial"/>
        </w:rPr>
        <w:t xml:space="preserve">Continue the Public Hearing to September 17, </w:t>
      </w:r>
      <w:r w:rsidR="00E95961" w:rsidRPr="00D947A9">
        <w:rPr>
          <w:rFonts w:cs="Arial"/>
        </w:rPr>
        <w:t>2024,</w:t>
      </w:r>
      <w:r w:rsidRPr="00D947A9">
        <w:rPr>
          <w:rFonts w:cs="Arial"/>
        </w:rPr>
        <w:t xml:space="preserve"> to </w:t>
      </w:r>
      <w:r w:rsidR="00E95961" w:rsidRPr="00D947A9">
        <w:rPr>
          <w:rFonts w:cs="Arial"/>
        </w:rPr>
        <w:t>adopt revisions</w:t>
      </w:r>
      <w:r w:rsidR="0080584B" w:rsidRPr="00D947A9">
        <w:rPr>
          <w:rFonts w:cs="Arial"/>
        </w:rPr>
        <w:t xml:space="preserve"> </w:t>
      </w:r>
      <w:r w:rsidRPr="00D947A9">
        <w:rPr>
          <w:rFonts w:cs="Arial"/>
        </w:rPr>
        <w:t>to the</w:t>
      </w:r>
      <w:r w:rsidR="0080584B" w:rsidRPr="00D947A9">
        <w:rPr>
          <w:rFonts w:cs="Arial"/>
        </w:rPr>
        <w:t xml:space="preserve"> Rules for the Establishment and Administration of Agricultural Preserves and Williamson Act Contracts</w:t>
      </w:r>
      <w:r w:rsidR="00265783" w:rsidRPr="00D947A9">
        <w:rPr>
          <w:rFonts w:cs="Arial"/>
        </w:rPr>
        <w:t xml:space="preserve">. </w:t>
      </w:r>
    </w:p>
    <w:p w14:paraId="705294E1" w14:textId="77777777" w:rsidR="00BA6FF9" w:rsidRPr="00D947A9" w:rsidRDefault="00124746" w:rsidP="00CF4867">
      <w:pPr>
        <w:pStyle w:val="Heading2"/>
        <w:rPr>
          <w:rFonts w:ascii="Arial" w:hAnsi="Arial" w:cs="Arial"/>
          <w:color w:val="auto"/>
        </w:rPr>
      </w:pPr>
      <w:r w:rsidRPr="00D947A9">
        <w:rPr>
          <w:rFonts w:ascii="Arial" w:hAnsi="Arial" w:cs="Arial"/>
          <w:color w:val="auto"/>
        </w:rPr>
        <w:t>Attachments</w:t>
      </w:r>
    </w:p>
    <w:p w14:paraId="5979AA3B" w14:textId="6A7BB93D" w:rsidR="001A752A" w:rsidRPr="00D947A9" w:rsidRDefault="0080584B" w:rsidP="00CE493F">
      <w:pPr>
        <w:pStyle w:val="ListParagraph"/>
        <w:numPr>
          <w:ilvl w:val="0"/>
          <w:numId w:val="9"/>
        </w:numPr>
        <w:rPr>
          <w:rFonts w:cs="Arial"/>
          <w:bCs/>
        </w:rPr>
      </w:pPr>
      <w:r w:rsidRPr="00D947A9">
        <w:rPr>
          <w:rFonts w:cs="Arial"/>
          <w:bCs/>
        </w:rPr>
        <w:t xml:space="preserve">Rules for the Establishment and Administration of Agricultural Preserves and Williamson Act Contracts </w:t>
      </w:r>
      <w:r w:rsidR="00E95961" w:rsidRPr="00D947A9">
        <w:rPr>
          <w:rFonts w:cs="Arial"/>
          <w:bCs/>
        </w:rPr>
        <w:t>–</w:t>
      </w:r>
      <w:r w:rsidRPr="00D947A9">
        <w:rPr>
          <w:rFonts w:cs="Arial"/>
          <w:bCs/>
        </w:rPr>
        <w:t xml:space="preserve"> Redlines</w:t>
      </w:r>
      <w:r w:rsidR="00E95961" w:rsidRPr="00D947A9">
        <w:rPr>
          <w:rFonts w:cs="Arial"/>
          <w:bCs/>
        </w:rPr>
        <w:t xml:space="preserve"> (Version 2</w:t>
      </w:r>
      <w:r w:rsidR="00CB185D" w:rsidRPr="00D947A9">
        <w:rPr>
          <w:rFonts w:cs="Arial"/>
          <w:bCs/>
        </w:rPr>
        <w:t xml:space="preserve"> based on 08/06/2024 BoS discussion</w:t>
      </w:r>
      <w:r w:rsidR="00E95961" w:rsidRPr="00D947A9">
        <w:rPr>
          <w:rFonts w:cs="Arial"/>
          <w:bCs/>
        </w:rPr>
        <w:t>)</w:t>
      </w:r>
    </w:p>
    <w:sectPr w:rsidR="001A752A" w:rsidRPr="00D947A9"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086EE232" w:rsidR="008406F4" w:rsidRDefault="0082150D" w:rsidP="005F4F8E">
    <w:pPr>
      <w:pStyle w:val="Footer"/>
      <w:tabs>
        <w:tab w:val="clear" w:pos="4320"/>
        <w:tab w:val="clear" w:pos="8640"/>
        <w:tab w:val="right" w:pos="9900"/>
      </w:tabs>
    </w:pPr>
    <w:r>
      <w:rPr>
        <w:rFonts w:cs="Arial"/>
      </w:rPr>
      <w:t xml:space="preserve">Rules for the Establishment and Administration of Agricultural Preserves and </w:t>
    </w:r>
    <w:r>
      <w:rPr>
        <w:rFonts w:cs="Arial"/>
      </w:rPr>
      <w:br/>
      <w:t>Williamson Act Contracts</w:t>
    </w:r>
    <w:r w:rsidR="00EF2096">
      <w:rPr>
        <w:rFonts w:cs="Arial"/>
      </w:rPr>
      <w:t xml:space="preserve"> - Update</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C7CFF"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C0384"/>
    <w:multiLevelType w:val="hybridMultilevel"/>
    <w:tmpl w:val="4DC2A0C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0213C2"/>
    <w:multiLevelType w:val="hybridMultilevel"/>
    <w:tmpl w:val="5616FBB4"/>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A867DA"/>
    <w:multiLevelType w:val="hybridMultilevel"/>
    <w:tmpl w:val="A2D677AE"/>
    <w:lvl w:ilvl="0" w:tplc="41C69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535B58"/>
    <w:multiLevelType w:val="hybridMultilevel"/>
    <w:tmpl w:val="E6E69900"/>
    <w:lvl w:ilvl="0" w:tplc="FB244430">
      <w:start w:val="1"/>
      <w:numFmt w:val="decimal"/>
      <w:lvlText w:val="%1."/>
      <w:lvlJc w:val="left"/>
      <w:pPr>
        <w:ind w:left="720" w:hanging="360"/>
      </w:pPr>
      <w:rPr>
        <w:rFonts w:hint="default"/>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FF4FF9"/>
    <w:multiLevelType w:val="hybridMultilevel"/>
    <w:tmpl w:val="A2564A6E"/>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D3645B1"/>
    <w:multiLevelType w:val="hybridMultilevel"/>
    <w:tmpl w:val="C1C8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55F97"/>
    <w:multiLevelType w:val="hybridMultilevel"/>
    <w:tmpl w:val="3C42390A"/>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965FA6"/>
    <w:multiLevelType w:val="hybridMultilevel"/>
    <w:tmpl w:val="6D6C4842"/>
    <w:lvl w:ilvl="0" w:tplc="2B8E6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465CC8"/>
    <w:multiLevelType w:val="hybridMultilevel"/>
    <w:tmpl w:val="92CAF0BA"/>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6369F7"/>
    <w:multiLevelType w:val="hybridMultilevel"/>
    <w:tmpl w:val="CED0B1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0529F8"/>
    <w:multiLevelType w:val="hybridMultilevel"/>
    <w:tmpl w:val="3B4C470E"/>
    <w:lvl w:ilvl="0" w:tplc="07AEF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8E0393A"/>
    <w:multiLevelType w:val="hybridMultilevel"/>
    <w:tmpl w:val="CBF058C4"/>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20A91"/>
    <w:multiLevelType w:val="hybridMultilevel"/>
    <w:tmpl w:val="9DDEBC2C"/>
    <w:lvl w:ilvl="0" w:tplc="3D16C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817C6A"/>
    <w:multiLevelType w:val="hybridMultilevel"/>
    <w:tmpl w:val="2CA4F2E0"/>
    <w:lvl w:ilvl="0" w:tplc="40DA5198">
      <w:start w:val="1"/>
      <w:numFmt w:val="lowerLetter"/>
      <w:lvlText w:val="%1)"/>
      <w:lvlJc w:val="left"/>
      <w:pPr>
        <w:ind w:left="1080" w:hanging="360"/>
      </w:pPr>
      <w:rPr>
        <w:rFonts w:hint="default"/>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8147CCA"/>
    <w:multiLevelType w:val="hybridMultilevel"/>
    <w:tmpl w:val="A92EEF06"/>
    <w:lvl w:ilvl="0" w:tplc="5C405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AC44F3"/>
    <w:multiLevelType w:val="hybridMultilevel"/>
    <w:tmpl w:val="CCDA67D4"/>
    <w:lvl w:ilvl="0" w:tplc="E4506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E22D09"/>
    <w:multiLevelType w:val="hybridMultilevel"/>
    <w:tmpl w:val="C3C02E14"/>
    <w:lvl w:ilvl="0" w:tplc="3432F0A6">
      <w:start w:val="1"/>
      <w:numFmt w:val="lowerLetter"/>
      <w:lvlText w:val="%1)"/>
      <w:lvlJc w:val="left"/>
      <w:pPr>
        <w:ind w:left="1080" w:hanging="360"/>
      </w:pPr>
      <w:rPr>
        <w:rFonts w:asciiTheme="minorHAnsi" w:eastAsiaTheme="minorHAnsi" w:hAnsiTheme="minorHAnsi"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D72454B"/>
    <w:multiLevelType w:val="hybridMultilevel"/>
    <w:tmpl w:val="1116C7E0"/>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DB5AC1"/>
    <w:multiLevelType w:val="hybridMultilevel"/>
    <w:tmpl w:val="64E6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A5AF0"/>
    <w:multiLevelType w:val="hybridMultilevel"/>
    <w:tmpl w:val="F36AABF2"/>
    <w:lvl w:ilvl="0" w:tplc="1DCCA2F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A3B3C"/>
    <w:multiLevelType w:val="hybridMultilevel"/>
    <w:tmpl w:val="F2681952"/>
    <w:lvl w:ilvl="0" w:tplc="3A9A8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19"/>
  </w:num>
  <w:num w:numId="2" w16cid:durableId="1168786036">
    <w:abstractNumId w:val="9"/>
  </w:num>
  <w:num w:numId="3" w16cid:durableId="389812592">
    <w:abstractNumId w:val="13"/>
  </w:num>
  <w:num w:numId="4" w16cid:durableId="327486139">
    <w:abstractNumId w:val="23"/>
  </w:num>
  <w:num w:numId="5" w16cid:durableId="253172352">
    <w:abstractNumId w:val="28"/>
  </w:num>
  <w:num w:numId="6" w16cid:durableId="1816683177">
    <w:abstractNumId w:val="16"/>
  </w:num>
  <w:num w:numId="7" w16cid:durableId="2115129267">
    <w:abstractNumId w:val="26"/>
  </w:num>
  <w:num w:numId="8" w16cid:durableId="1270772652">
    <w:abstractNumId w:val="0"/>
  </w:num>
  <w:num w:numId="9" w16cid:durableId="1257522188">
    <w:abstractNumId w:val="14"/>
  </w:num>
  <w:num w:numId="10" w16cid:durableId="1217276067">
    <w:abstractNumId w:val="6"/>
  </w:num>
  <w:num w:numId="11" w16cid:durableId="583999547">
    <w:abstractNumId w:val="27"/>
  </w:num>
  <w:num w:numId="12" w16cid:durableId="1937865394">
    <w:abstractNumId w:val="4"/>
  </w:num>
  <w:num w:numId="13" w16cid:durableId="1255820389">
    <w:abstractNumId w:val="8"/>
  </w:num>
  <w:num w:numId="14" w16cid:durableId="2081292908">
    <w:abstractNumId w:val="3"/>
  </w:num>
  <w:num w:numId="15" w16cid:durableId="797114854">
    <w:abstractNumId w:val="20"/>
  </w:num>
  <w:num w:numId="16" w16cid:durableId="1950695018">
    <w:abstractNumId w:val="24"/>
  </w:num>
  <w:num w:numId="17" w16cid:durableId="79062647">
    <w:abstractNumId w:val="15"/>
  </w:num>
  <w:num w:numId="18" w16cid:durableId="1659921322">
    <w:abstractNumId w:val="18"/>
  </w:num>
  <w:num w:numId="19" w16cid:durableId="1133673416">
    <w:abstractNumId w:val="12"/>
  </w:num>
  <w:num w:numId="20" w16cid:durableId="972489394">
    <w:abstractNumId w:val="25"/>
  </w:num>
  <w:num w:numId="21" w16cid:durableId="1843005746">
    <w:abstractNumId w:val="1"/>
  </w:num>
  <w:num w:numId="22" w16cid:durableId="347562068">
    <w:abstractNumId w:val="11"/>
  </w:num>
  <w:num w:numId="23" w16cid:durableId="1323508159">
    <w:abstractNumId w:val="5"/>
  </w:num>
  <w:num w:numId="24" w16cid:durableId="854536122">
    <w:abstractNumId w:val="2"/>
  </w:num>
  <w:num w:numId="25" w16cid:durableId="1715275056">
    <w:abstractNumId w:val="10"/>
  </w:num>
  <w:num w:numId="26" w16cid:durableId="1840079109">
    <w:abstractNumId w:val="21"/>
  </w:num>
  <w:num w:numId="27" w16cid:durableId="358819255">
    <w:abstractNumId w:val="22"/>
  </w:num>
  <w:num w:numId="28" w16cid:durableId="2128232515">
    <w:abstractNumId w:val="7"/>
  </w:num>
  <w:num w:numId="29" w16cid:durableId="13565431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33D6"/>
    <w:rsid w:val="00022441"/>
    <w:rsid w:val="00026AD9"/>
    <w:rsid w:val="00032BE1"/>
    <w:rsid w:val="00032BEB"/>
    <w:rsid w:val="00034D93"/>
    <w:rsid w:val="00035E84"/>
    <w:rsid w:val="00043B8C"/>
    <w:rsid w:val="0004737E"/>
    <w:rsid w:val="00057412"/>
    <w:rsid w:val="0007011D"/>
    <w:rsid w:val="0007573F"/>
    <w:rsid w:val="00075F98"/>
    <w:rsid w:val="000765F9"/>
    <w:rsid w:val="000775DA"/>
    <w:rsid w:val="00083CEB"/>
    <w:rsid w:val="00085FA3"/>
    <w:rsid w:val="000A6252"/>
    <w:rsid w:val="000C7D2F"/>
    <w:rsid w:val="000C7E47"/>
    <w:rsid w:val="000E6CB3"/>
    <w:rsid w:val="000F13AC"/>
    <w:rsid w:val="001052CF"/>
    <w:rsid w:val="0011207D"/>
    <w:rsid w:val="00121A09"/>
    <w:rsid w:val="00124596"/>
    <w:rsid w:val="00124746"/>
    <w:rsid w:val="001319F9"/>
    <w:rsid w:val="0014513F"/>
    <w:rsid w:val="001529C3"/>
    <w:rsid w:val="00160AF7"/>
    <w:rsid w:val="00162F61"/>
    <w:rsid w:val="0016530F"/>
    <w:rsid w:val="0017292F"/>
    <w:rsid w:val="001816A6"/>
    <w:rsid w:val="00182E63"/>
    <w:rsid w:val="001964C1"/>
    <w:rsid w:val="001A752A"/>
    <w:rsid w:val="001B2AF0"/>
    <w:rsid w:val="001B3A24"/>
    <w:rsid w:val="001B5780"/>
    <w:rsid w:val="001B719D"/>
    <w:rsid w:val="001C23BD"/>
    <w:rsid w:val="001C48C0"/>
    <w:rsid w:val="001C6571"/>
    <w:rsid w:val="001D2DC5"/>
    <w:rsid w:val="001D6644"/>
    <w:rsid w:val="001E0243"/>
    <w:rsid w:val="001F1F5A"/>
    <w:rsid w:val="001F5E62"/>
    <w:rsid w:val="001F76F3"/>
    <w:rsid w:val="001F7FE6"/>
    <w:rsid w:val="00201396"/>
    <w:rsid w:val="00216824"/>
    <w:rsid w:val="002176AD"/>
    <w:rsid w:val="00220D28"/>
    <w:rsid w:val="00222E41"/>
    <w:rsid w:val="00230F31"/>
    <w:rsid w:val="00236673"/>
    <w:rsid w:val="002418B8"/>
    <w:rsid w:val="00243CFD"/>
    <w:rsid w:val="0024400C"/>
    <w:rsid w:val="00244EF3"/>
    <w:rsid w:val="00247892"/>
    <w:rsid w:val="00250585"/>
    <w:rsid w:val="00251FA1"/>
    <w:rsid w:val="002542D4"/>
    <w:rsid w:val="00255685"/>
    <w:rsid w:val="00265783"/>
    <w:rsid w:val="00266BCD"/>
    <w:rsid w:val="002756BD"/>
    <w:rsid w:val="00276903"/>
    <w:rsid w:val="002819CB"/>
    <w:rsid w:val="00281F83"/>
    <w:rsid w:val="00283FC9"/>
    <w:rsid w:val="0029544A"/>
    <w:rsid w:val="002A1B5A"/>
    <w:rsid w:val="002B79A8"/>
    <w:rsid w:val="002B7C6D"/>
    <w:rsid w:val="002C2294"/>
    <w:rsid w:val="002C5C17"/>
    <w:rsid w:val="002C6138"/>
    <w:rsid w:val="002C7CF6"/>
    <w:rsid w:val="002D148E"/>
    <w:rsid w:val="002D1780"/>
    <w:rsid w:val="002D722D"/>
    <w:rsid w:val="002E3221"/>
    <w:rsid w:val="002E5D70"/>
    <w:rsid w:val="002F5869"/>
    <w:rsid w:val="003009C4"/>
    <w:rsid w:val="00301FD0"/>
    <w:rsid w:val="00303249"/>
    <w:rsid w:val="00320759"/>
    <w:rsid w:val="00320FE7"/>
    <w:rsid w:val="0032598B"/>
    <w:rsid w:val="00325DAD"/>
    <w:rsid w:val="00326C8B"/>
    <w:rsid w:val="00332537"/>
    <w:rsid w:val="00343CBA"/>
    <w:rsid w:val="00350044"/>
    <w:rsid w:val="00350FB5"/>
    <w:rsid w:val="0035147E"/>
    <w:rsid w:val="00360D79"/>
    <w:rsid w:val="003655F9"/>
    <w:rsid w:val="0037050F"/>
    <w:rsid w:val="0037153F"/>
    <w:rsid w:val="00373BAB"/>
    <w:rsid w:val="003761BA"/>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3030"/>
    <w:rsid w:val="003C362B"/>
    <w:rsid w:val="003C5209"/>
    <w:rsid w:val="003C61CB"/>
    <w:rsid w:val="003D1C3F"/>
    <w:rsid w:val="003D403E"/>
    <w:rsid w:val="003D4351"/>
    <w:rsid w:val="003E536B"/>
    <w:rsid w:val="003E5F9C"/>
    <w:rsid w:val="003F067B"/>
    <w:rsid w:val="003F6517"/>
    <w:rsid w:val="003F7B84"/>
    <w:rsid w:val="0041044A"/>
    <w:rsid w:val="004218B3"/>
    <w:rsid w:val="004235C5"/>
    <w:rsid w:val="00423EFA"/>
    <w:rsid w:val="0043604A"/>
    <w:rsid w:val="00441F97"/>
    <w:rsid w:val="004464F9"/>
    <w:rsid w:val="004536D9"/>
    <w:rsid w:val="00455EA5"/>
    <w:rsid w:val="00456754"/>
    <w:rsid w:val="00460FCC"/>
    <w:rsid w:val="00463C7B"/>
    <w:rsid w:val="0046568F"/>
    <w:rsid w:val="00471638"/>
    <w:rsid w:val="004832D4"/>
    <w:rsid w:val="00492198"/>
    <w:rsid w:val="004A041C"/>
    <w:rsid w:val="004A0E5B"/>
    <w:rsid w:val="004A1513"/>
    <w:rsid w:val="004A4A55"/>
    <w:rsid w:val="004B16CC"/>
    <w:rsid w:val="004B20AC"/>
    <w:rsid w:val="004B2CFD"/>
    <w:rsid w:val="004B6EAE"/>
    <w:rsid w:val="004D0141"/>
    <w:rsid w:val="004D0A3A"/>
    <w:rsid w:val="004D73BB"/>
    <w:rsid w:val="004E61B2"/>
    <w:rsid w:val="00501F16"/>
    <w:rsid w:val="00511F63"/>
    <w:rsid w:val="005147B0"/>
    <w:rsid w:val="005206D2"/>
    <w:rsid w:val="00521DF2"/>
    <w:rsid w:val="0052253C"/>
    <w:rsid w:val="005263B0"/>
    <w:rsid w:val="0053142B"/>
    <w:rsid w:val="0053284A"/>
    <w:rsid w:val="00532934"/>
    <w:rsid w:val="00540B2B"/>
    <w:rsid w:val="005440E7"/>
    <w:rsid w:val="00550B1D"/>
    <w:rsid w:val="0056162F"/>
    <w:rsid w:val="00563E2B"/>
    <w:rsid w:val="005658EE"/>
    <w:rsid w:val="005707B5"/>
    <w:rsid w:val="00573F38"/>
    <w:rsid w:val="00574505"/>
    <w:rsid w:val="005853B8"/>
    <w:rsid w:val="00595A10"/>
    <w:rsid w:val="005A0E65"/>
    <w:rsid w:val="005A29BC"/>
    <w:rsid w:val="005A3933"/>
    <w:rsid w:val="005A69EF"/>
    <w:rsid w:val="005B5A69"/>
    <w:rsid w:val="005B5E76"/>
    <w:rsid w:val="005B653A"/>
    <w:rsid w:val="005C341D"/>
    <w:rsid w:val="005C3AC8"/>
    <w:rsid w:val="005C782F"/>
    <w:rsid w:val="005D04A0"/>
    <w:rsid w:val="005D1419"/>
    <w:rsid w:val="005D3D74"/>
    <w:rsid w:val="005D4510"/>
    <w:rsid w:val="005E7CA9"/>
    <w:rsid w:val="005F0CCD"/>
    <w:rsid w:val="005F4F8E"/>
    <w:rsid w:val="00603C52"/>
    <w:rsid w:val="00605111"/>
    <w:rsid w:val="00615126"/>
    <w:rsid w:val="00625CA8"/>
    <w:rsid w:val="00627019"/>
    <w:rsid w:val="006271FC"/>
    <w:rsid w:val="0062784B"/>
    <w:rsid w:val="006306BA"/>
    <w:rsid w:val="00630F55"/>
    <w:rsid w:val="00633254"/>
    <w:rsid w:val="00636263"/>
    <w:rsid w:val="00642DC5"/>
    <w:rsid w:val="006554B7"/>
    <w:rsid w:val="0065552F"/>
    <w:rsid w:val="0066249E"/>
    <w:rsid w:val="0066767B"/>
    <w:rsid w:val="00671240"/>
    <w:rsid w:val="00674A8C"/>
    <w:rsid w:val="006870DA"/>
    <w:rsid w:val="006870E2"/>
    <w:rsid w:val="00697602"/>
    <w:rsid w:val="006A22EA"/>
    <w:rsid w:val="006B2B32"/>
    <w:rsid w:val="006B5F52"/>
    <w:rsid w:val="006C394B"/>
    <w:rsid w:val="006C5B39"/>
    <w:rsid w:val="006C6F1E"/>
    <w:rsid w:val="006C7A97"/>
    <w:rsid w:val="006D0321"/>
    <w:rsid w:val="006D45AA"/>
    <w:rsid w:val="006E10E1"/>
    <w:rsid w:val="006E19C5"/>
    <w:rsid w:val="006E4D5D"/>
    <w:rsid w:val="006E4F96"/>
    <w:rsid w:val="006F4ACD"/>
    <w:rsid w:val="0070115C"/>
    <w:rsid w:val="00703617"/>
    <w:rsid w:val="00711888"/>
    <w:rsid w:val="007133D3"/>
    <w:rsid w:val="007137BF"/>
    <w:rsid w:val="007167FD"/>
    <w:rsid w:val="007235ED"/>
    <w:rsid w:val="00723E3F"/>
    <w:rsid w:val="00734534"/>
    <w:rsid w:val="00734830"/>
    <w:rsid w:val="00736F07"/>
    <w:rsid w:val="00747F4B"/>
    <w:rsid w:val="00747FD4"/>
    <w:rsid w:val="0075325A"/>
    <w:rsid w:val="00756473"/>
    <w:rsid w:val="00760F6B"/>
    <w:rsid w:val="0076489B"/>
    <w:rsid w:val="007672E2"/>
    <w:rsid w:val="00774245"/>
    <w:rsid w:val="00776F36"/>
    <w:rsid w:val="00780078"/>
    <w:rsid w:val="00785500"/>
    <w:rsid w:val="007876AF"/>
    <w:rsid w:val="007906DE"/>
    <w:rsid w:val="0079163E"/>
    <w:rsid w:val="00792A6D"/>
    <w:rsid w:val="007A21DE"/>
    <w:rsid w:val="007A5617"/>
    <w:rsid w:val="007A5949"/>
    <w:rsid w:val="007B149B"/>
    <w:rsid w:val="007B1930"/>
    <w:rsid w:val="007B23DE"/>
    <w:rsid w:val="007B5796"/>
    <w:rsid w:val="007B7AE8"/>
    <w:rsid w:val="007C0756"/>
    <w:rsid w:val="007C10FE"/>
    <w:rsid w:val="007C6956"/>
    <w:rsid w:val="007D1447"/>
    <w:rsid w:val="007E1C1C"/>
    <w:rsid w:val="007E1F44"/>
    <w:rsid w:val="007E255E"/>
    <w:rsid w:val="007E7318"/>
    <w:rsid w:val="007F1503"/>
    <w:rsid w:val="007F1F94"/>
    <w:rsid w:val="007F54B6"/>
    <w:rsid w:val="007F5EE4"/>
    <w:rsid w:val="007F7129"/>
    <w:rsid w:val="00802F8D"/>
    <w:rsid w:val="0080584B"/>
    <w:rsid w:val="008058E9"/>
    <w:rsid w:val="008126B9"/>
    <w:rsid w:val="008145C3"/>
    <w:rsid w:val="00820434"/>
    <w:rsid w:val="00820809"/>
    <w:rsid w:val="0082150D"/>
    <w:rsid w:val="0083647C"/>
    <w:rsid w:val="008406F4"/>
    <w:rsid w:val="00841719"/>
    <w:rsid w:val="00844D99"/>
    <w:rsid w:val="00847387"/>
    <w:rsid w:val="00856D5A"/>
    <w:rsid w:val="008600BD"/>
    <w:rsid w:val="008612F6"/>
    <w:rsid w:val="00880BC3"/>
    <w:rsid w:val="00883132"/>
    <w:rsid w:val="00886DDA"/>
    <w:rsid w:val="00890884"/>
    <w:rsid w:val="008973BD"/>
    <w:rsid w:val="008A4A10"/>
    <w:rsid w:val="008B54FF"/>
    <w:rsid w:val="008B5F41"/>
    <w:rsid w:val="008C3EEC"/>
    <w:rsid w:val="008C7D2C"/>
    <w:rsid w:val="008D076B"/>
    <w:rsid w:val="008D54AB"/>
    <w:rsid w:val="008E51A1"/>
    <w:rsid w:val="008F5DBA"/>
    <w:rsid w:val="008F6692"/>
    <w:rsid w:val="008F7AA1"/>
    <w:rsid w:val="009017C8"/>
    <w:rsid w:val="00902942"/>
    <w:rsid w:val="0090615E"/>
    <w:rsid w:val="0090686D"/>
    <w:rsid w:val="00911BE2"/>
    <w:rsid w:val="00942830"/>
    <w:rsid w:val="0095031E"/>
    <w:rsid w:val="00952AA9"/>
    <w:rsid w:val="00952E47"/>
    <w:rsid w:val="009542E7"/>
    <w:rsid w:val="00956824"/>
    <w:rsid w:val="00960429"/>
    <w:rsid w:val="00961534"/>
    <w:rsid w:val="00962D3A"/>
    <w:rsid w:val="00982B09"/>
    <w:rsid w:val="00982C6A"/>
    <w:rsid w:val="00982EED"/>
    <w:rsid w:val="0099101B"/>
    <w:rsid w:val="009B4B9F"/>
    <w:rsid w:val="009D0E04"/>
    <w:rsid w:val="009E6C5B"/>
    <w:rsid w:val="009E6CD7"/>
    <w:rsid w:val="009E6D07"/>
    <w:rsid w:val="009E77CF"/>
    <w:rsid w:val="00A02D9E"/>
    <w:rsid w:val="00A21F3D"/>
    <w:rsid w:val="00A24AD9"/>
    <w:rsid w:val="00A31D9B"/>
    <w:rsid w:val="00A37C27"/>
    <w:rsid w:val="00A44EE4"/>
    <w:rsid w:val="00A4699F"/>
    <w:rsid w:val="00A47749"/>
    <w:rsid w:val="00A519B8"/>
    <w:rsid w:val="00A54A02"/>
    <w:rsid w:val="00A54E5B"/>
    <w:rsid w:val="00A65493"/>
    <w:rsid w:val="00A6613C"/>
    <w:rsid w:val="00A67538"/>
    <w:rsid w:val="00A6766A"/>
    <w:rsid w:val="00A7350D"/>
    <w:rsid w:val="00A768D1"/>
    <w:rsid w:val="00A85FC6"/>
    <w:rsid w:val="00A96448"/>
    <w:rsid w:val="00AA7A4B"/>
    <w:rsid w:val="00AB08D6"/>
    <w:rsid w:val="00AB3621"/>
    <w:rsid w:val="00AB71BE"/>
    <w:rsid w:val="00AC0599"/>
    <w:rsid w:val="00AC38D6"/>
    <w:rsid w:val="00AC78CA"/>
    <w:rsid w:val="00AD4AE8"/>
    <w:rsid w:val="00AD60D8"/>
    <w:rsid w:val="00AD699B"/>
    <w:rsid w:val="00AD7C01"/>
    <w:rsid w:val="00AE104E"/>
    <w:rsid w:val="00AE2C86"/>
    <w:rsid w:val="00AE32FB"/>
    <w:rsid w:val="00AE54C1"/>
    <w:rsid w:val="00AE7307"/>
    <w:rsid w:val="00AF4B17"/>
    <w:rsid w:val="00AF7ADA"/>
    <w:rsid w:val="00B0451D"/>
    <w:rsid w:val="00B0517A"/>
    <w:rsid w:val="00B075B8"/>
    <w:rsid w:val="00B12F31"/>
    <w:rsid w:val="00B30777"/>
    <w:rsid w:val="00B3310B"/>
    <w:rsid w:val="00B34E3F"/>
    <w:rsid w:val="00B55FED"/>
    <w:rsid w:val="00B57435"/>
    <w:rsid w:val="00B60F43"/>
    <w:rsid w:val="00B61ED1"/>
    <w:rsid w:val="00B641EF"/>
    <w:rsid w:val="00B77119"/>
    <w:rsid w:val="00B77E0B"/>
    <w:rsid w:val="00B87F88"/>
    <w:rsid w:val="00B90DDF"/>
    <w:rsid w:val="00B968A8"/>
    <w:rsid w:val="00BA4032"/>
    <w:rsid w:val="00BA6FF9"/>
    <w:rsid w:val="00BB010E"/>
    <w:rsid w:val="00BB2C51"/>
    <w:rsid w:val="00BB4531"/>
    <w:rsid w:val="00BC2C56"/>
    <w:rsid w:val="00BC68EB"/>
    <w:rsid w:val="00BD4272"/>
    <w:rsid w:val="00BD5D38"/>
    <w:rsid w:val="00BF3332"/>
    <w:rsid w:val="00BF37D7"/>
    <w:rsid w:val="00BF56C3"/>
    <w:rsid w:val="00BF6EB4"/>
    <w:rsid w:val="00C02714"/>
    <w:rsid w:val="00C10D34"/>
    <w:rsid w:val="00C11571"/>
    <w:rsid w:val="00C210FC"/>
    <w:rsid w:val="00C3000D"/>
    <w:rsid w:val="00C379A2"/>
    <w:rsid w:val="00C42CFF"/>
    <w:rsid w:val="00C4365F"/>
    <w:rsid w:val="00C4410D"/>
    <w:rsid w:val="00C51D1F"/>
    <w:rsid w:val="00C55C94"/>
    <w:rsid w:val="00C55FD8"/>
    <w:rsid w:val="00C57784"/>
    <w:rsid w:val="00C57D50"/>
    <w:rsid w:val="00C610FA"/>
    <w:rsid w:val="00C61B77"/>
    <w:rsid w:val="00C63A6F"/>
    <w:rsid w:val="00C731C8"/>
    <w:rsid w:val="00C830D6"/>
    <w:rsid w:val="00C87E98"/>
    <w:rsid w:val="00C91ACC"/>
    <w:rsid w:val="00CB185D"/>
    <w:rsid w:val="00CB471D"/>
    <w:rsid w:val="00CC3E8E"/>
    <w:rsid w:val="00CC3F79"/>
    <w:rsid w:val="00CC468F"/>
    <w:rsid w:val="00CC6E3A"/>
    <w:rsid w:val="00CD0276"/>
    <w:rsid w:val="00CD04FF"/>
    <w:rsid w:val="00CD4D44"/>
    <w:rsid w:val="00CE493F"/>
    <w:rsid w:val="00CF4867"/>
    <w:rsid w:val="00D1203C"/>
    <w:rsid w:val="00D14B75"/>
    <w:rsid w:val="00D229E8"/>
    <w:rsid w:val="00D44C5D"/>
    <w:rsid w:val="00D47A96"/>
    <w:rsid w:val="00D53670"/>
    <w:rsid w:val="00D5451B"/>
    <w:rsid w:val="00D55A80"/>
    <w:rsid w:val="00D57FDC"/>
    <w:rsid w:val="00D66376"/>
    <w:rsid w:val="00D66D8D"/>
    <w:rsid w:val="00D83622"/>
    <w:rsid w:val="00D947A9"/>
    <w:rsid w:val="00DB0195"/>
    <w:rsid w:val="00DB4056"/>
    <w:rsid w:val="00DB55EC"/>
    <w:rsid w:val="00DC26E6"/>
    <w:rsid w:val="00DC635A"/>
    <w:rsid w:val="00DD6F5E"/>
    <w:rsid w:val="00DE31B5"/>
    <w:rsid w:val="00DE3558"/>
    <w:rsid w:val="00DE56F8"/>
    <w:rsid w:val="00DE79A1"/>
    <w:rsid w:val="00E05E37"/>
    <w:rsid w:val="00E10AF4"/>
    <w:rsid w:val="00E1320F"/>
    <w:rsid w:val="00E1453B"/>
    <w:rsid w:val="00E2111C"/>
    <w:rsid w:val="00E25075"/>
    <w:rsid w:val="00E251F6"/>
    <w:rsid w:val="00E25C9A"/>
    <w:rsid w:val="00E317AC"/>
    <w:rsid w:val="00E332CD"/>
    <w:rsid w:val="00E347FD"/>
    <w:rsid w:val="00E350AE"/>
    <w:rsid w:val="00E43E45"/>
    <w:rsid w:val="00E441A9"/>
    <w:rsid w:val="00E454EE"/>
    <w:rsid w:val="00E4574A"/>
    <w:rsid w:val="00E471E8"/>
    <w:rsid w:val="00E555AC"/>
    <w:rsid w:val="00E6373E"/>
    <w:rsid w:val="00E64508"/>
    <w:rsid w:val="00E704DD"/>
    <w:rsid w:val="00E74987"/>
    <w:rsid w:val="00E80353"/>
    <w:rsid w:val="00E8211D"/>
    <w:rsid w:val="00E82F2A"/>
    <w:rsid w:val="00E86EC2"/>
    <w:rsid w:val="00E87FA9"/>
    <w:rsid w:val="00E915D6"/>
    <w:rsid w:val="00E937CB"/>
    <w:rsid w:val="00E95961"/>
    <w:rsid w:val="00E9714D"/>
    <w:rsid w:val="00E975A9"/>
    <w:rsid w:val="00EA0E32"/>
    <w:rsid w:val="00EA2395"/>
    <w:rsid w:val="00EB0007"/>
    <w:rsid w:val="00EB6AF2"/>
    <w:rsid w:val="00EC22ED"/>
    <w:rsid w:val="00EC553B"/>
    <w:rsid w:val="00ED0777"/>
    <w:rsid w:val="00ED1189"/>
    <w:rsid w:val="00ED1D2F"/>
    <w:rsid w:val="00ED225C"/>
    <w:rsid w:val="00ED2AEE"/>
    <w:rsid w:val="00ED7EF5"/>
    <w:rsid w:val="00EE3C32"/>
    <w:rsid w:val="00EE3F9C"/>
    <w:rsid w:val="00EF2096"/>
    <w:rsid w:val="00F03444"/>
    <w:rsid w:val="00F051BD"/>
    <w:rsid w:val="00F11058"/>
    <w:rsid w:val="00F138D1"/>
    <w:rsid w:val="00F14677"/>
    <w:rsid w:val="00F2009D"/>
    <w:rsid w:val="00F22A92"/>
    <w:rsid w:val="00F330FC"/>
    <w:rsid w:val="00F34DB3"/>
    <w:rsid w:val="00F37A72"/>
    <w:rsid w:val="00F40AD3"/>
    <w:rsid w:val="00F43729"/>
    <w:rsid w:val="00F465C2"/>
    <w:rsid w:val="00F53722"/>
    <w:rsid w:val="00F54981"/>
    <w:rsid w:val="00F551D4"/>
    <w:rsid w:val="00F574F9"/>
    <w:rsid w:val="00F60A7E"/>
    <w:rsid w:val="00F64E78"/>
    <w:rsid w:val="00F651B6"/>
    <w:rsid w:val="00F6593A"/>
    <w:rsid w:val="00F72391"/>
    <w:rsid w:val="00F807FD"/>
    <w:rsid w:val="00F86687"/>
    <w:rsid w:val="00F87638"/>
    <w:rsid w:val="00FA0BF1"/>
    <w:rsid w:val="00FA6664"/>
    <w:rsid w:val="00FB3B51"/>
    <w:rsid w:val="00FC2CD1"/>
    <w:rsid w:val="00FE6D87"/>
    <w:rsid w:val="00FF2327"/>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F2096"/>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32598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32598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32598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32598B"/>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32598B"/>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32598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32598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32598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32598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EF20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2096"/>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32598B"/>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32598B"/>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32598B"/>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32598B"/>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32598B"/>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32598B"/>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32598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2598B"/>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32598B"/>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32598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2598B"/>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32598B"/>
    <w:rPr>
      <w:i/>
      <w:iCs/>
    </w:rPr>
  </w:style>
  <w:style w:type="character" w:styleId="Strong">
    <w:name w:val="Strong"/>
    <w:basedOn w:val="DefaultParagraphFont"/>
    <w:uiPriority w:val="22"/>
    <w:qFormat/>
    <w:rsid w:val="0032598B"/>
    <w:rPr>
      <w:b/>
      <w:bCs/>
    </w:rPr>
  </w:style>
  <w:style w:type="character" w:styleId="IntenseEmphasis">
    <w:name w:val="Intense Emphasis"/>
    <w:basedOn w:val="DefaultParagraphFont"/>
    <w:uiPriority w:val="21"/>
    <w:qFormat/>
    <w:rsid w:val="0032598B"/>
    <w:rPr>
      <w:b/>
      <w:bCs/>
      <w:i/>
      <w:iCs/>
    </w:rPr>
  </w:style>
  <w:style w:type="paragraph" w:styleId="Quote">
    <w:name w:val="Quote"/>
    <w:basedOn w:val="Normal"/>
    <w:next w:val="Normal"/>
    <w:link w:val="QuoteChar"/>
    <w:uiPriority w:val="29"/>
    <w:qFormat/>
    <w:rsid w:val="0032598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2598B"/>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32598B"/>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32598B"/>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32598B"/>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32598B"/>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32598B"/>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32598B"/>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32598B"/>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32598B"/>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32598B"/>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32598B"/>
    <w:rPr>
      <w:smallCaps/>
      <w:color w:val="595959" w:themeColor="text1" w:themeTint="A6"/>
    </w:rPr>
  </w:style>
  <w:style w:type="character" w:styleId="BookTitle">
    <w:name w:val="Book Title"/>
    <w:basedOn w:val="DefaultParagraphFont"/>
    <w:uiPriority w:val="33"/>
    <w:qFormat/>
    <w:rsid w:val="0032598B"/>
    <w:rPr>
      <w:b/>
      <w:bCs/>
      <w:caps w:val="0"/>
      <w:smallCaps/>
      <w:spacing w:val="7"/>
      <w:sz w:val="21"/>
      <w:szCs w:val="21"/>
    </w:rPr>
  </w:style>
  <w:style w:type="paragraph" w:styleId="TOCHeading">
    <w:name w:val="TOC Heading"/>
    <w:basedOn w:val="Heading1"/>
    <w:next w:val="Normal"/>
    <w:uiPriority w:val="39"/>
    <w:semiHidden/>
    <w:unhideWhenUsed/>
    <w:qFormat/>
    <w:rsid w:val="0032598B"/>
    <w:pPr>
      <w:outlineLvl w:val="9"/>
    </w:pPr>
  </w:style>
  <w:style w:type="paragraph" w:styleId="NormalWeb">
    <w:name w:val="Normal (Web)"/>
    <w:basedOn w:val="Normal"/>
    <w:uiPriority w:val="99"/>
    <w:unhideWhenUsed/>
    <w:rsid w:val="00BD5D38"/>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Revision">
    <w:name w:val="Revision"/>
    <w:hidden/>
    <w:uiPriority w:val="99"/>
    <w:semiHidden/>
    <w:rsid w:val="00F330FC"/>
    <w:rPr>
      <w:rFonts w:asciiTheme="minorHAnsi" w:eastAsiaTheme="minorHAnsi" w:hAnsiTheme="minorHAnsi" w:cstheme="minorBidi"/>
      <w:kern w:val="2"/>
      <w:sz w:val="21"/>
      <w:szCs w:val="21"/>
      <w14:ligatures w14:val="standardContextual"/>
    </w:rPr>
  </w:style>
  <w:style w:type="character" w:styleId="CommentReference">
    <w:name w:val="annotation reference"/>
    <w:basedOn w:val="DefaultParagraphFont"/>
    <w:semiHidden/>
    <w:unhideWhenUsed/>
    <w:rsid w:val="003E5F9C"/>
    <w:rPr>
      <w:sz w:val="16"/>
      <w:szCs w:val="16"/>
    </w:rPr>
  </w:style>
  <w:style w:type="paragraph" w:styleId="CommentText">
    <w:name w:val="annotation text"/>
    <w:basedOn w:val="Normal"/>
    <w:link w:val="CommentTextChar"/>
    <w:unhideWhenUsed/>
    <w:rsid w:val="003E5F9C"/>
    <w:pPr>
      <w:spacing w:line="240" w:lineRule="auto"/>
    </w:pPr>
    <w:rPr>
      <w:sz w:val="20"/>
      <w:szCs w:val="20"/>
    </w:rPr>
  </w:style>
  <w:style w:type="character" w:customStyle="1" w:styleId="CommentTextChar">
    <w:name w:val="Comment Text Char"/>
    <w:basedOn w:val="DefaultParagraphFont"/>
    <w:link w:val="CommentText"/>
    <w:rsid w:val="003E5F9C"/>
    <w:rPr>
      <w:rFonts w:asciiTheme="minorHAnsi" w:eastAsiaTheme="minorHAnsi" w:hAnsiTheme="minorHAnsi" w:cstheme="minorBidi"/>
      <w:kern w:val="2"/>
      <w14:ligatures w14:val="standardContextual"/>
    </w:rPr>
  </w:style>
  <w:style w:type="paragraph" w:styleId="CommentSubject">
    <w:name w:val="annotation subject"/>
    <w:basedOn w:val="CommentText"/>
    <w:next w:val="CommentText"/>
    <w:link w:val="CommentSubjectChar"/>
    <w:semiHidden/>
    <w:unhideWhenUsed/>
    <w:rsid w:val="003E5F9C"/>
    <w:rPr>
      <w:b/>
      <w:bCs/>
    </w:rPr>
  </w:style>
  <w:style w:type="character" w:customStyle="1" w:styleId="CommentSubjectChar">
    <w:name w:val="Comment Subject Char"/>
    <w:basedOn w:val="CommentTextChar"/>
    <w:link w:val="CommentSubject"/>
    <w:semiHidden/>
    <w:rsid w:val="003E5F9C"/>
    <w:rPr>
      <w:rFonts w:asciiTheme="minorHAnsi" w:eastAsiaTheme="minorHAnsi" w:hAnsiTheme="minorHAnsi" w:cstheme="minorBidi"/>
      <w:b/>
      <w:bCs/>
      <w:kern w:val="2"/>
      <w14:ligatures w14:val="standardContextual"/>
    </w:rPr>
  </w:style>
  <w:style w:type="paragraph" w:styleId="FootnoteText">
    <w:name w:val="footnote text"/>
    <w:basedOn w:val="Normal"/>
    <w:link w:val="FootnoteTextChar"/>
    <w:semiHidden/>
    <w:unhideWhenUsed/>
    <w:rsid w:val="00630F55"/>
    <w:pPr>
      <w:spacing w:line="240" w:lineRule="auto"/>
    </w:pPr>
    <w:rPr>
      <w:sz w:val="20"/>
      <w:szCs w:val="20"/>
    </w:rPr>
  </w:style>
  <w:style w:type="character" w:customStyle="1" w:styleId="FootnoteTextChar">
    <w:name w:val="Footnote Text Char"/>
    <w:basedOn w:val="DefaultParagraphFont"/>
    <w:link w:val="FootnoteText"/>
    <w:semiHidden/>
    <w:rsid w:val="00630F55"/>
    <w:rPr>
      <w:rFonts w:ascii="Arial" w:eastAsiaTheme="minorHAnsi" w:hAnsi="Arial"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71552">
      <w:bodyDiv w:val="1"/>
      <w:marLeft w:val="0"/>
      <w:marRight w:val="0"/>
      <w:marTop w:val="0"/>
      <w:marBottom w:val="0"/>
      <w:divBdr>
        <w:top w:val="none" w:sz="0" w:space="0" w:color="auto"/>
        <w:left w:val="none" w:sz="0" w:space="0" w:color="auto"/>
        <w:bottom w:val="none" w:sz="0" w:space="0" w:color="auto"/>
        <w:right w:val="none" w:sz="0" w:space="0" w:color="auto"/>
      </w:divBdr>
    </w:div>
    <w:div w:id="81718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1258</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6</cp:revision>
  <cp:lastPrinted>2018-01-16T20:45:00Z</cp:lastPrinted>
  <dcterms:created xsi:type="dcterms:W3CDTF">2024-08-21T22:33:00Z</dcterms:created>
  <dcterms:modified xsi:type="dcterms:W3CDTF">2024-08-23T16:44:00Z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